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tblLook w:val="04A0" w:firstRow="1" w:lastRow="0" w:firstColumn="1" w:lastColumn="0" w:noHBand="0" w:noVBand="1"/>
      </w:tblPr>
      <w:tblGrid>
        <w:gridCol w:w="2689"/>
        <w:gridCol w:w="7654"/>
        <w:gridCol w:w="1134"/>
        <w:gridCol w:w="1985"/>
        <w:gridCol w:w="1275"/>
      </w:tblGrid>
      <w:tr w:rsidR="008A136E" w14:paraId="4D933084" w14:textId="77777777" w:rsidTr="003A60BF">
        <w:tc>
          <w:tcPr>
            <w:tcW w:w="2689" w:type="dxa"/>
          </w:tcPr>
          <w:p w14:paraId="792FE371" w14:textId="6E5BB91B" w:rsidR="008A136E" w:rsidRPr="00585B9F" w:rsidRDefault="008A136E">
            <w:pPr>
              <w:rPr>
                <w:b/>
                <w:bCs/>
              </w:rPr>
            </w:pPr>
            <w:r w:rsidRPr="00585B9F">
              <w:rPr>
                <w:b/>
                <w:bCs/>
              </w:rPr>
              <w:t>Project name</w:t>
            </w:r>
          </w:p>
        </w:tc>
        <w:tc>
          <w:tcPr>
            <w:tcW w:w="7654" w:type="dxa"/>
          </w:tcPr>
          <w:p w14:paraId="3D356282" w14:textId="7D8B0425" w:rsidR="008A136E" w:rsidRPr="00585B9F" w:rsidRDefault="008A136E">
            <w:pPr>
              <w:rPr>
                <w:b/>
                <w:bCs/>
              </w:rPr>
            </w:pPr>
            <w:r w:rsidRPr="00585B9F">
              <w:rPr>
                <w:b/>
                <w:bCs/>
              </w:rPr>
              <w:t>Project details</w:t>
            </w:r>
          </w:p>
        </w:tc>
        <w:tc>
          <w:tcPr>
            <w:tcW w:w="1134" w:type="dxa"/>
          </w:tcPr>
          <w:p w14:paraId="4410E3D4" w14:textId="2A633F1D" w:rsidR="008A136E" w:rsidRPr="00585B9F" w:rsidRDefault="008A136E">
            <w:pPr>
              <w:rPr>
                <w:b/>
                <w:bCs/>
              </w:rPr>
            </w:pPr>
            <w:r w:rsidRPr="00585B9F">
              <w:rPr>
                <w:b/>
                <w:bCs/>
              </w:rPr>
              <w:t>Funding type</w:t>
            </w:r>
          </w:p>
        </w:tc>
        <w:tc>
          <w:tcPr>
            <w:tcW w:w="1985" w:type="dxa"/>
          </w:tcPr>
          <w:p w14:paraId="5701043F" w14:textId="41D6D25D" w:rsidR="008A136E" w:rsidRPr="00585B9F" w:rsidRDefault="008A136E">
            <w:pPr>
              <w:rPr>
                <w:b/>
                <w:bCs/>
              </w:rPr>
            </w:pPr>
            <w:r w:rsidRPr="00585B9F">
              <w:rPr>
                <w:b/>
                <w:bCs/>
              </w:rPr>
              <w:t>Funding value</w:t>
            </w:r>
          </w:p>
        </w:tc>
        <w:tc>
          <w:tcPr>
            <w:tcW w:w="1275" w:type="dxa"/>
          </w:tcPr>
          <w:p w14:paraId="5D0CC29F" w14:textId="35A142E7" w:rsidR="008A136E" w:rsidRPr="00585B9F" w:rsidRDefault="008A136E">
            <w:pPr>
              <w:rPr>
                <w:b/>
                <w:bCs/>
              </w:rPr>
            </w:pPr>
            <w:r w:rsidRPr="00585B9F">
              <w:rPr>
                <w:b/>
                <w:bCs/>
              </w:rPr>
              <w:t>Financial Year</w:t>
            </w:r>
          </w:p>
        </w:tc>
      </w:tr>
      <w:tr w:rsidR="008A136E" w14:paraId="500CCDAC" w14:textId="77777777" w:rsidTr="003A60BF">
        <w:tc>
          <w:tcPr>
            <w:tcW w:w="2689" w:type="dxa"/>
          </w:tcPr>
          <w:p w14:paraId="14F39363" w14:textId="108BB9F5" w:rsidR="008A136E" w:rsidRDefault="008A136E" w:rsidP="008A136E">
            <w:r>
              <w:t>436 Claremont East Open Space Improvements</w:t>
            </w:r>
          </w:p>
        </w:tc>
        <w:tc>
          <w:tcPr>
            <w:tcW w:w="7654" w:type="dxa"/>
          </w:tcPr>
          <w:p w14:paraId="7C0DB2B2" w14:textId="77777777" w:rsidR="008A136E" w:rsidRDefault="002D0077" w:rsidP="008A136E">
            <w:r>
              <w:t>The investment is to provide a play area and community garden on Claremont East Estate</w:t>
            </w:r>
          </w:p>
          <w:p w14:paraId="5F69F888" w14:textId="1C080DFF" w:rsidR="002D0077" w:rsidRDefault="002D0077" w:rsidP="008A136E"/>
        </w:tc>
        <w:tc>
          <w:tcPr>
            <w:tcW w:w="1134" w:type="dxa"/>
          </w:tcPr>
          <w:p w14:paraId="7F7062C0" w14:textId="09828246" w:rsidR="008A136E" w:rsidRDefault="008A136E" w:rsidP="008A136E">
            <w:r w:rsidRPr="00F73AF8">
              <w:t>S106</w:t>
            </w:r>
          </w:p>
        </w:tc>
        <w:tc>
          <w:tcPr>
            <w:tcW w:w="1985" w:type="dxa"/>
          </w:tcPr>
          <w:p w14:paraId="39EB087C" w14:textId="77777777" w:rsidR="008A136E" w:rsidRDefault="008A136E" w:rsidP="008A136E">
            <w:pPr>
              <w:rPr>
                <w:rFonts w:ascii="Calibri" w:hAnsi="Calibri" w:cs="Calibri"/>
                <w:color w:val="000000"/>
              </w:rPr>
            </w:pPr>
            <w:r>
              <w:rPr>
                <w:rFonts w:ascii="Calibri" w:hAnsi="Calibri" w:cs="Calibri"/>
                <w:color w:val="000000"/>
              </w:rPr>
              <w:t>91,175.61</w:t>
            </w:r>
          </w:p>
          <w:p w14:paraId="15896ECB" w14:textId="77777777" w:rsidR="008A136E" w:rsidRDefault="008A136E" w:rsidP="008A136E">
            <w:pPr>
              <w:rPr>
                <w:rFonts w:ascii="Calibri" w:hAnsi="Calibri" w:cs="Calibri"/>
                <w:color w:val="000000"/>
              </w:rPr>
            </w:pPr>
          </w:p>
        </w:tc>
        <w:tc>
          <w:tcPr>
            <w:tcW w:w="1275" w:type="dxa"/>
          </w:tcPr>
          <w:p w14:paraId="546C0BC8" w14:textId="6E9287FC" w:rsidR="008A136E" w:rsidRDefault="008A136E" w:rsidP="003A60BF">
            <w:r w:rsidRPr="0006580F">
              <w:t>2017/18</w:t>
            </w:r>
          </w:p>
        </w:tc>
      </w:tr>
      <w:tr w:rsidR="008A136E" w14:paraId="58838C8C" w14:textId="77777777" w:rsidTr="003A60BF">
        <w:tc>
          <w:tcPr>
            <w:tcW w:w="2689" w:type="dxa"/>
          </w:tcPr>
          <w:p w14:paraId="2A96A315" w14:textId="102C5692" w:rsidR="008A136E" w:rsidRDefault="008A136E" w:rsidP="008A136E">
            <w:r w:rsidRPr="008A136E">
              <w:t>396 Streatham Play Area</w:t>
            </w:r>
          </w:p>
        </w:tc>
        <w:tc>
          <w:tcPr>
            <w:tcW w:w="7654" w:type="dxa"/>
          </w:tcPr>
          <w:p w14:paraId="2ACF110E" w14:textId="77777777" w:rsidR="008A136E" w:rsidRDefault="002D0077" w:rsidP="008A136E">
            <w:r>
              <w:t>The investment is to modernise the existing play area in Streatham Common and refurbish the public toilets</w:t>
            </w:r>
          </w:p>
          <w:p w14:paraId="6FFB34D1" w14:textId="348D464F" w:rsidR="002D0077" w:rsidRDefault="002D0077" w:rsidP="008A136E"/>
        </w:tc>
        <w:tc>
          <w:tcPr>
            <w:tcW w:w="1134" w:type="dxa"/>
          </w:tcPr>
          <w:p w14:paraId="13262E1D" w14:textId="7DE3F75A" w:rsidR="008A136E" w:rsidRDefault="008A136E" w:rsidP="008A136E">
            <w:r w:rsidRPr="00F73AF8">
              <w:t>S106</w:t>
            </w:r>
            <w:r w:rsidR="00585B9F">
              <w:t xml:space="preserve"> &amp; CI</w:t>
            </w:r>
            <w:r w:rsidR="002D0077">
              <w:t>L</w:t>
            </w:r>
          </w:p>
        </w:tc>
        <w:tc>
          <w:tcPr>
            <w:tcW w:w="1985" w:type="dxa"/>
          </w:tcPr>
          <w:p w14:paraId="4C549F07" w14:textId="275030EE" w:rsidR="008A136E" w:rsidRDefault="008A136E" w:rsidP="008A136E">
            <w:pPr>
              <w:rPr>
                <w:rFonts w:ascii="Calibri" w:hAnsi="Calibri" w:cs="Calibri"/>
                <w:color w:val="000000"/>
              </w:rPr>
            </w:pPr>
            <w:r>
              <w:rPr>
                <w:rFonts w:ascii="Calibri" w:hAnsi="Calibri" w:cs="Calibri"/>
                <w:color w:val="000000"/>
              </w:rPr>
              <w:t>32,454.63</w:t>
            </w:r>
            <w:r>
              <w:rPr>
                <w:rFonts w:ascii="Calibri" w:hAnsi="Calibri" w:cs="Calibri"/>
                <w:color w:val="000000"/>
              </w:rPr>
              <w:t xml:space="preserve"> - S106</w:t>
            </w:r>
          </w:p>
          <w:p w14:paraId="3AC3CF80" w14:textId="52A4EC3F" w:rsidR="008A136E" w:rsidRDefault="00585B9F" w:rsidP="002D0077">
            <w:pPr>
              <w:rPr>
                <w:rFonts w:ascii="Calibri" w:hAnsi="Calibri" w:cs="Calibri"/>
                <w:color w:val="000000"/>
              </w:rPr>
            </w:pPr>
            <w:r>
              <w:rPr>
                <w:rFonts w:ascii="Calibri" w:hAnsi="Calibri" w:cs="Calibri"/>
                <w:color w:val="000000"/>
              </w:rPr>
              <w:t>173,165.48</w:t>
            </w:r>
            <w:r>
              <w:rPr>
                <w:rFonts w:ascii="Calibri" w:hAnsi="Calibri" w:cs="Calibri"/>
                <w:color w:val="000000"/>
              </w:rPr>
              <w:t xml:space="preserve"> - CIL</w:t>
            </w:r>
          </w:p>
        </w:tc>
        <w:tc>
          <w:tcPr>
            <w:tcW w:w="1275" w:type="dxa"/>
          </w:tcPr>
          <w:p w14:paraId="04FC277D" w14:textId="0677CEAE" w:rsidR="008A136E" w:rsidRDefault="008A136E" w:rsidP="003A60BF">
            <w:r w:rsidRPr="0006580F">
              <w:t>2017/18</w:t>
            </w:r>
          </w:p>
        </w:tc>
      </w:tr>
      <w:tr w:rsidR="003A60BF" w14:paraId="21258338" w14:textId="77777777" w:rsidTr="003A60BF">
        <w:tc>
          <w:tcPr>
            <w:tcW w:w="2689" w:type="dxa"/>
          </w:tcPr>
          <w:p w14:paraId="7B5624B1" w14:textId="77777777" w:rsidR="003A60BF" w:rsidRDefault="003A60BF" w:rsidP="003A60BF">
            <w:pPr>
              <w:rPr>
                <w:rFonts w:ascii="Calibri" w:hAnsi="Calibri" w:cs="Calibri"/>
                <w:color w:val="000000"/>
              </w:rPr>
            </w:pPr>
            <w:r>
              <w:rPr>
                <w:rFonts w:ascii="Calibri" w:hAnsi="Calibri" w:cs="Calibri"/>
                <w:color w:val="000000"/>
              </w:rPr>
              <w:t>491 Streatham Common Play Area Kiosk 915722</w:t>
            </w:r>
          </w:p>
          <w:p w14:paraId="194B4E02" w14:textId="77777777" w:rsidR="003A60BF" w:rsidRPr="008A136E" w:rsidRDefault="003A60BF" w:rsidP="008A136E"/>
        </w:tc>
        <w:tc>
          <w:tcPr>
            <w:tcW w:w="7654" w:type="dxa"/>
          </w:tcPr>
          <w:p w14:paraId="4D72F4E8" w14:textId="77777777" w:rsidR="003A60BF" w:rsidRDefault="002D0077" w:rsidP="008A136E">
            <w:r>
              <w:t>The development is an auxiliary element to the main project above (396 Streatham Play Area) in order to provide safeguarding feature in the form of refreshment kiosk. It was seen as a critical to the success of the playground development, providing added security and safeguarding presence on site.</w:t>
            </w:r>
          </w:p>
          <w:p w14:paraId="78FC5EBE" w14:textId="64CDFD15" w:rsidR="002D0077" w:rsidRDefault="002D0077" w:rsidP="008A136E"/>
        </w:tc>
        <w:tc>
          <w:tcPr>
            <w:tcW w:w="1134" w:type="dxa"/>
          </w:tcPr>
          <w:p w14:paraId="04CB8BD3" w14:textId="5F083588" w:rsidR="003A60BF" w:rsidRPr="00F73AF8" w:rsidRDefault="003A60BF" w:rsidP="008A136E">
            <w:r>
              <w:t>CIL</w:t>
            </w:r>
          </w:p>
        </w:tc>
        <w:tc>
          <w:tcPr>
            <w:tcW w:w="1985" w:type="dxa"/>
          </w:tcPr>
          <w:p w14:paraId="0FBFC73E" w14:textId="7E582E14" w:rsidR="003A60BF" w:rsidRDefault="003A60BF" w:rsidP="008A136E">
            <w:pPr>
              <w:rPr>
                <w:rFonts w:ascii="Calibri" w:hAnsi="Calibri" w:cs="Calibri"/>
                <w:color w:val="000000"/>
              </w:rPr>
            </w:pPr>
            <w:r>
              <w:rPr>
                <w:rFonts w:ascii="Calibri" w:hAnsi="Calibri" w:cs="Calibri"/>
                <w:color w:val="000000"/>
              </w:rPr>
              <w:t>95,000</w:t>
            </w:r>
          </w:p>
        </w:tc>
        <w:tc>
          <w:tcPr>
            <w:tcW w:w="1275" w:type="dxa"/>
          </w:tcPr>
          <w:p w14:paraId="4B4B41BB" w14:textId="032F5B17" w:rsidR="003A60BF" w:rsidRPr="0006580F" w:rsidRDefault="003A60BF" w:rsidP="003A60BF">
            <w:r>
              <w:t>2017/18</w:t>
            </w:r>
          </w:p>
        </w:tc>
      </w:tr>
      <w:tr w:rsidR="008A136E" w14:paraId="1A79F3B0" w14:textId="77777777" w:rsidTr="003A60BF">
        <w:tc>
          <w:tcPr>
            <w:tcW w:w="2689" w:type="dxa"/>
          </w:tcPr>
          <w:p w14:paraId="173827F0" w14:textId="58639ACF" w:rsidR="008A136E" w:rsidRDefault="008A136E" w:rsidP="008A136E">
            <w:r w:rsidRPr="008A136E">
              <w:t>470 Replacement Parts for Play Equipment</w:t>
            </w:r>
          </w:p>
        </w:tc>
        <w:tc>
          <w:tcPr>
            <w:tcW w:w="7654" w:type="dxa"/>
          </w:tcPr>
          <w:p w14:paraId="45DE54F1" w14:textId="77777777" w:rsidR="008A136E" w:rsidRDefault="002D0077" w:rsidP="008A136E">
            <w:r>
              <w:t>The investment is to purchase a range of replacement parts for the purposes of repairing and maintaining play equipment across the public realm in Lambeth.</w:t>
            </w:r>
          </w:p>
          <w:p w14:paraId="6060EF49" w14:textId="4E2A3FCC" w:rsidR="002D0077" w:rsidRDefault="002D0077" w:rsidP="008A136E"/>
        </w:tc>
        <w:tc>
          <w:tcPr>
            <w:tcW w:w="1134" w:type="dxa"/>
          </w:tcPr>
          <w:p w14:paraId="01C8C034" w14:textId="31CC87DD" w:rsidR="008A136E" w:rsidRDefault="008A136E" w:rsidP="008A136E">
            <w:r w:rsidRPr="00F73AF8">
              <w:t>S106</w:t>
            </w:r>
          </w:p>
        </w:tc>
        <w:tc>
          <w:tcPr>
            <w:tcW w:w="1985" w:type="dxa"/>
          </w:tcPr>
          <w:p w14:paraId="2F0245F0" w14:textId="77777777" w:rsidR="00585B9F" w:rsidRDefault="00585B9F" w:rsidP="00585B9F">
            <w:pPr>
              <w:rPr>
                <w:rFonts w:ascii="Calibri" w:hAnsi="Calibri" w:cs="Calibri"/>
                <w:color w:val="000000"/>
              </w:rPr>
            </w:pPr>
            <w:r>
              <w:rPr>
                <w:rFonts w:ascii="Calibri" w:hAnsi="Calibri" w:cs="Calibri"/>
                <w:color w:val="000000"/>
              </w:rPr>
              <w:t>1,875.34</w:t>
            </w:r>
          </w:p>
          <w:p w14:paraId="0D8247F6" w14:textId="77777777" w:rsidR="008A136E" w:rsidRDefault="008A136E" w:rsidP="008A136E">
            <w:pPr>
              <w:rPr>
                <w:rFonts w:ascii="Calibri" w:hAnsi="Calibri" w:cs="Calibri"/>
                <w:color w:val="000000"/>
              </w:rPr>
            </w:pPr>
          </w:p>
        </w:tc>
        <w:tc>
          <w:tcPr>
            <w:tcW w:w="1275" w:type="dxa"/>
          </w:tcPr>
          <w:p w14:paraId="5A0F5D45" w14:textId="3D408DB4" w:rsidR="008A136E" w:rsidRDefault="008A136E" w:rsidP="003A60BF">
            <w:r w:rsidRPr="0006580F">
              <w:t>2017/18</w:t>
            </w:r>
          </w:p>
        </w:tc>
      </w:tr>
      <w:tr w:rsidR="008A136E" w14:paraId="111B1B17" w14:textId="77777777" w:rsidTr="003A60BF">
        <w:tc>
          <w:tcPr>
            <w:tcW w:w="2689" w:type="dxa"/>
          </w:tcPr>
          <w:p w14:paraId="28EEAAF6" w14:textId="2EF94C2D" w:rsidR="008A136E" w:rsidRDefault="008A136E" w:rsidP="008A136E">
            <w:r w:rsidRPr="008A136E">
              <w:t>511 Streatham Vale Park - Redevelopment of the Adventure Playground</w:t>
            </w:r>
          </w:p>
        </w:tc>
        <w:tc>
          <w:tcPr>
            <w:tcW w:w="7654" w:type="dxa"/>
          </w:tcPr>
          <w:p w14:paraId="6721668C" w14:textId="6D921ECE" w:rsidR="008A136E" w:rsidRDefault="00534EBC" w:rsidP="008A136E">
            <w:r>
              <w:t xml:space="preserve">The investment is to support the redevelopment of </w:t>
            </w:r>
            <w:r w:rsidR="00985C5A">
              <w:t>Streatham Vale Park</w:t>
            </w:r>
            <w:r>
              <w:t xml:space="preserve"> and in particular the adventure playground.</w:t>
            </w:r>
          </w:p>
        </w:tc>
        <w:tc>
          <w:tcPr>
            <w:tcW w:w="1134" w:type="dxa"/>
          </w:tcPr>
          <w:p w14:paraId="0767F822" w14:textId="0E84E48F" w:rsidR="008A136E" w:rsidRDefault="008A136E" w:rsidP="008A136E">
            <w:r w:rsidRPr="00F73AF8">
              <w:t>S106</w:t>
            </w:r>
          </w:p>
        </w:tc>
        <w:tc>
          <w:tcPr>
            <w:tcW w:w="1985" w:type="dxa"/>
          </w:tcPr>
          <w:p w14:paraId="38E22575" w14:textId="77777777" w:rsidR="00585B9F" w:rsidRDefault="00585B9F" w:rsidP="00585B9F">
            <w:pPr>
              <w:rPr>
                <w:rFonts w:ascii="Calibri" w:hAnsi="Calibri" w:cs="Calibri"/>
                <w:color w:val="000000"/>
              </w:rPr>
            </w:pPr>
            <w:r>
              <w:rPr>
                <w:rFonts w:ascii="Calibri" w:hAnsi="Calibri" w:cs="Calibri"/>
                <w:color w:val="000000"/>
              </w:rPr>
              <w:t>5,950.00</w:t>
            </w:r>
          </w:p>
          <w:p w14:paraId="3AA6D9B6" w14:textId="77777777" w:rsidR="008A136E" w:rsidRDefault="008A136E" w:rsidP="008A136E">
            <w:pPr>
              <w:rPr>
                <w:rFonts w:ascii="Calibri" w:hAnsi="Calibri" w:cs="Calibri"/>
                <w:color w:val="000000"/>
              </w:rPr>
            </w:pPr>
          </w:p>
        </w:tc>
        <w:tc>
          <w:tcPr>
            <w:tcW w:w="1275" w:type="dxa"/>
          </w:tcPr>
          <w:p w14:paraId="2DFAFF26" w14:textId="7088F779" w:rsidR="008A136E" w:rsidRDefault="008A136E" w:rsidP="003A60BF">
            <w:r w:rsidRPr="0006580F">
              <w:t>2017/18</w:t>
            </w:r>
          </w:p>
        </w:tc>
      </w:tr>
      <w:tr w:rsidR="008A136E" w14:paraId="0DB10415" w14:textId="77777777" w:rsidTr="003A60BF">
        <w:tc>
          <w:tcPr>
            <w:tcW w:w="2689" w:type="dxa"/>
          </w:tcPr>
          <w:p w14:paraId="168307F4" w14:textId="3BD4E85E" w:rsidR="00585B9F" w:rsidRDefault="00585B9F" w:rsidP="00585B9F">
            <w:pPr>
              <w:rPr>
                <w:rFonts w:ascii="Calibri" w:hAnsi="Calibri" w:cs="Calibri"/>
                <w:color w:val="000000"/>
              </w:rPr>
            </w:pPr>
            <w:r>
              <w:rPr>
                <w:rFonts w:ascii="Calibri" w:hAnsi="Calibri" w:cs="Calibri"/>
                <w:color w:val="000000"/>
              </w:rPr>
              <w:t xml:space="preserve">534 Agnes Riley Gardens Playground Refurbishment </w:t>
            </w:r>
          </w:p>
          <w:p w14:paraId="6E692EE8" w14:textId="77777777" w:rsidR="008A136E" w:rsidRDefault="008A136E" w:rsidP="008A136E"/>
        </w:tc>
        <w:tc>
          <w:tcPr>
            <w:tcW w:w="7654" w:type="dxa"/>
          </w:tcPr>
          <w:p w14:paraId="445AF689" w14:textId="77777777" w:rsidR="008A136E" w:rsidRDefault="00985C5A" w:rsidP="008A136E">
            <w:r>
              <w:t xml:space="preserve">The investment is to refurbish the existing playground in order to provide a stimulating environment for children’s play and to ensure all equipment, surfaces, </w:t>
            </w:r>
            <w:proofErr w:type="gramStart"/>
            <w:r>
              <w:t>gates</w:t>
            </w:r>
            <w:proofErr w:type="gramEnd"/>
            <w:r>
              <w:t xml:space="preserve"> and fencing are compliant with current safety standards</w:t>
            </w:r>
          </w:p>
          <w:p w14:paraId="54396461" w14:textId="7B63F27F" w:rsidR="00985C5A" w:rsidRDefault="00985C5A" w:rsidP="008A136E"/>
        </w:tc>
        <w:tc>
          <w:tcPr>
            <w:tcW w:w="1134" w:type="dxa"/>
          </w:tcPr>
          <w:p w14:paraId="38CCBEDF" w14:textId="1B40E910" w:rsidR="008A136E" w:rsidRDefault="008A136E" w:rsidP="008A136E">
            <w:r w:rsidRPr="00F73AF8">
              <w:t>S106</w:t>
            </w:r>
          </w:p>
        </w:tc>
        <w:tc>
          <w:tcPr>
            <w:tcW w:w="1985" w:type="dxa"/>
          </w:tcPr>
          <w:p w14:paraId="6BDD1574" w14:textId="77777777" w:rsidR="003A60BF" w:rsidRDefault="003A60BF" w:rsidP="003A60BF">
            <w:pPr>
              <w:rPr>
                <w:rFonts w:ascii="Calibri" w:hAnsi="Calibri" w:cs="Calibri"/>
                <w:color w:val="000000"/>
              </w:rPr>
            </w:pPr>
            <w:r>
              <w:rPr>
                <w:rFonts w:ascii="Calibri" w:hAnsi="Calibri" w:cs="Calibri"/>
                <w:color w:val="000000"/>
              </w:rPr>
              <w:t>51,098.88</w:t>
            </w:r>
          </w:p>
          <w:p w14:paraId="21C33E7D" w14:textId="77777777" w:rsidR="008A136E" w:rsidRDefault="008A136E" w:rsidP="008A136E">
            <w:pPr>
              <w:rPr>
                <w:rFonts w:ascii="Calibri" w:hAnsi="Calibri" w:cs="Calibri"/>
                <w:color w:val="000000"/>
              </w:rPr>
            </w:pPr>
          </w:p>
        </w:tc>
        <w:tc>
          <w:tcPr>
            <w:tcW w:w="1275" w:type="dxa"/>
          </w:tcPr>
          <w:p w14:paraId="5A411434" w14:textId="70788A8B" w:rsidR="008A136E" w:rsidRDefault="00585B9F" w:rsidP="003A60BF">
            <w:r>
              <w:t>2018/19</w:t>
            </w:r>
          </w:p>
        </w:tc>
      </w:tr>
      <w:tr w:rsidR="00585B9F" w14:paraId="45DD2BE8" w14:textId="77777777" w:rsidTr="003A60BF">
        <w:tc>
          <w:tcPr>
            <w:tcW w:w="2689" w:type="dxa"/>
          </w:tcPr>
          <w:p w14:paraId="202A5254" w14:textId="77777777" w:rsidR="00585B9F" w:rsidRDefault="00585B9F" w:rsidP="00585B9F">
            <w:pPr>
              <w:rPr>
                <w:rFonts w:ascii="Calibri" w:hAnsi="Calibri" w:cs="Calibri"/>
                <w:color w:val="000000"/>
              </w:rPr>
            </w:pPr>
            <w:r>
              <w:rPr>
                <w:rFonts w:ascii="Calibri" w:hAnsi="Calibri" w:cs="Calibri"/>
                <w:color w:val="000000"/>
              </w:rPr>
              <w:t>550 Larkhall Park Landscape Improvements Phase 1 915167</w:t>
            </w:r>
          </w:p>
          <w:p w14:paraId="5DFEB8D6" w14:textId="77777777" w:rsidR="00585B9F" w:rsidRDefault="00585B9F" w:rsidP="00585B9F"/>
        </w:tc>
        <w:tc>
          <w:tcPr>
            <w:tcW w:w="7654" w:type="dxa"/>
          </w:tcPr>
          <w:p w14:paraId="2CCAA79A" w14:textId="7F70D348" w:rsidR="00985C5A" w:rsidRPr="00985C5A" w:rsidRDefault="00985C5A" w:rsidP="00985C5A">
            <w:pPr>
              <w:pStyle w:val="reporttextparas"/>
              <w:tabs>
                <w:tab w:val="left" w:pos="720"/>
              </w:tabs>
              <w:spacing w:after="120"/>
              <w:ind w:left="0" w:firstLine="0"/>
              <w:rPr>
                <w:rFonts w:asciiTheme="minorHAnsi" w:eastAsiaTheme="minorHAnsi" w:hAnsiTheme="minorHAnsi" w:cstheme="minorBidi"/>
                <w:szCs w:val="22"/>
              </w:rPr>
            </w:pPr>
            <w:r w:rsidRPr="00985C5A">
              <w:rPr>
                <w:rFonts w:asciiTheme="minorHAnsi" w:eastAsiaTheme="minorHAnsi" w:hAnsiTheme="minorHAnsi" w:cstheme="minorBidi"/>
                <w:szCs w:val="22"/>
              </w:rPr>
              <w:t xml:space="preserve">The proposal is to undertake a package of works to address health and safety issues within the park, improve the site in terms of personal safety and attempt to design out anti-social behaviour in specific locations. </w:t>
            </w:r>
          </w:p>
          <w:p w14:paraId="758C9303" w14:textId="39F8579D" w:rsid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t>Specifically, the works within this project</w:t>
            </w:r>
            <w:r>
              <w:rPr>
                <w:rFonts w:asciiTheme="minorHAnsi" w:eastAsiaTheme="minorHAnsi" w:hAnsiTheme="minorHAnsi" w:cstheme="minorBidi"/>
                <w:szCs w:val="22"/>
              </w:rPr>
              <w:t xml:space="preserve"> are</w:t>
            </w:r>
            <w:r w:rsidRPr="00985C5A">
              <w:rPr>
                <w:rFonts w:asciiTheme="minorHAnsi" w:eastAsiaTheme="minorHAnsi" w:hAnsiTheme="minorHAnsi" w:cstheme="minorBidi"/>
                <w:szCs w:val="22"/>
              </w:rPr>
              <w:t>:</w:t>
            </w:r>
          </w:p>
          <w:p w14:paraId="0745E2ED" w14:textId="1F1F5D1D"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011BD7">
              <w:rPr>
                <w:rFonts w:asciiTheme="minorHAnsi" w:eastAsiaTheme="minorHAnsi" w:hAnsiTheme="minorHAnsi" w:cstheme="minorBidi"/>
                <w:b/>
                <w:bCs/>
                <w:szCs w:val="22"/>
              </w:rPr>
              <w:t>Address extensive safety issues at both playgrounds (using specific play covenants</w:t>
            </w:r>
            <w:r w:rsidRPr="00985C5A">
              <w:rPr>
                <w:rFonts w:asciiTheme="minorHAnsi" w:eastAsiaTheme="minorHAnsi" w:hAnsiTheme="minorHAnsi" w:cstheme="minorBidi"/>
                <w:szCs w:val="22"/>
              </w:rPr>
              <w:t>)</w:t>
            </w:r>
          </w:p>
          <w:p w14:paraId="2CF0D2A7" w14:textId="77777777"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t>Replacing a section of burnt-out and unsafe boundary fencing.</w:t>
            </w:r>
          </w:p>
          <w:p w14:paraId="2DCE0E2F" w14:textId="77777777"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lastRenderedPageBreak/>
              <w:t>Landscape improvements around the café.</w:t>
            </w:r>
          </w:p>
          <w:p w14:paraId="5502FFC8" w14:textId="77777777"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t>Tree works for safety purposes.</w:t>
            </w:r>
          </w:p>
          <w:p w14:paraId="6F1B8C45" w14:textId="77777777"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t>Improvements to lighting.</w:t>
            </w:r>
          </w:p>
          <w:p w14:paraId="0EE1337F" w14:textId="77777777"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t xml:space="preserve">Re-landscape the </w:t>
            </w:r>
            <w:proofErr w:type="spellStart"/>
            <w:r w:rsidRPr="00985C5A">
              <w:rPr>
                <w:rFonts w:asciiTheme="minorHAnsi" w:eastAsiaTheme="minorHAnsi" w:hAnsiTheme="minorHAnsi" w:cstheme="minorBidi"/>
                <w:szCs w:val="22"/>
              </w:rPr>
              <w:t>Southville</w:t>
            </w:r>
            <w:proofErr w:type="spellEnd"/>
            <w:r w:rsidRPr="00985C5A">
              <w:rPr>
                <w:rFonts w:asciiTheme="minorHAnsi" w:eastAsiaTheme="minorHAnsi" w:hAnsiTheme="minorHAnsi" w:cstheme="minorBidi"/>
                <w:szCs w:val="22"/>
              </w:rPr>
              <w:t xml:space="preserve"> and Wandsworth Road entrances to reduce ASB and create a more welcoming feel.</w:t>
            </w:r>
          </w:p>
          <w:p w14:paraId="70814F7F" w14:textId="5B467B62" w:rsidR="00985C5A" w:rsidRPr="00985C5A" w:rsidRDefault="00985C5A" w:rsidP="00985C5A">
            <w:pPr>
              <w:pStyle w:val="reporttextparas"/>
              <w:tabs>
                <w:tab w:val="left" w:pos="720"/>
              </w:tabs>
              <w:spacing w:after="120"/>
              <w:ind w:left="0" w:firstLine="0"/>
              <w:jc w:val="both"/>
              <w:rPr>
                <w:rFonts w:asciiTheme="minorHAnsi" w:eastAsiaTheme="minorHAnsi" w:hAnsiTheme="minorHAnsi" w:cstheme="minorBidi"/>
                <w:szCs w:val="22"/>
              </w:rPr>
            </w:pPr>
            <w:r w:rsidRPr="00985C5A">
              <w:rPr>
                <w:rFonts w:asciiTheme="minorHAnsi" w:eastAsiaTheme="minorHAnsi" w:hAnsiTheme="minorHAnsi" w:cstheme="minorBidi"/>
                <w:szCs w:val="22"/>
              </w:rPr>
              <w:t>.</w:t>
            </w:r>
          </w:p>
          <w:p w14:paraId="1005CF46" w14:textId="77777777" w:rsidR="00585B9F" w:rsidRDefault="00585B9F" w:rsidP="00585B9F"/>
        </w:tc>
        <w:tc>
          <w:tcPr>
            <w:tcW w:w="1134" w:type="dxa"/>
          </w:tcPr>
          <w:p w14:paraId="49ED68A0" w14:textId="2439DD9C" w:rsidR="00585B9F" w:rsidRDefault="00585B9F" w:rsidP="00585B9F">
            <w:r w:rsidRPr="00F73AF8">
              <w:lastRenderedPageBreak/>
              <w:t>S106</w:t>
            </w:r>
          </w:p>
        </w:tc>
        <w:tc>
          <w:tcPr>
            <w:tcW w:w="1985" w:type="dxa"/>
          </w:tcPr>
          <w:p w14:paraId="1523FC17" w14:textId="77777777" w:rsidR="003A60BF" w:rsidRDefault="003A60BF" w:rsidP="003A60BF">
            <w:pPr>
              <w:rPr>
                <w:rFonts w:ascii="Calibri" w:hAnsi="Calibri" w:cs="Calibri"/>
                <w:color w:val="000000"/>
              </w:rPr>
            </w:pPr>
            <w:r>
              <w:rPr>
                <w:rFonts w:ascii="Calibri" w:hAnsi="Calibri" w:cs="Calibri"/>
                <w:color w:val="000000"/>
              </w:rPr>
              <w:t>175,686.08</w:t>
            </w:r>
          </w:p>
          <w:p w14:paraId="33D3A4CE" w14:textId="77777777" w:rsidR="00585B9F" w:rsidRDefault="00585B9F" w:rsidP="00585B9F">
            <w:pPr>
              <w:rPr>
                <w:rFonts w:ascii="Calibri" w:hAnsi="Calibri" w:cs="Calibri"/>
                <w:color w:val="000000"/>
              </w:rPr>
            </w:pPr>
          </w:p>
        </w:tc>
        <w:tc>
          <w:tcPr>
            <w:tcW w:w="1275" w:type="dxa"/>
          </w:tcPr>
          <w:p w14:paraId="59665524" w14:textId="0BBD0695" w:rsidR="00585B9F" w:rsidRDefault="00585B9F" w:rsidP="003A60BF">
            <w:r w:rsidRPr="00057F00">
              <w:t>2018/19</w:t>
            </w:r>
          </w:p>
        </w:tc>
      </w:tr>
      <w:tr w:rsidR="00585B9F" w14:paraId="5918F053" w14:textId="77777777" w:rsidTr="003A60BF">
        <w:tc>
          <w:tcPr>
            <w:tcW w:w="2689" w:type="dxa"/>
          </w:tcPr>
          <w:p w14:paraId="4906E5AE" w14:textId="1E6DA684" w:rsidR="00585B9F" w:rsidRDefault="00585B9F" w:rsidP="00585B9F">
            <w:pPr>
              <w:rPr>
                <w:rFonts w:ascii="Calibri" w:hAnsi="Calibri" w:cs="Calibri"/>
                <w:color w:val="000000"/>
              </w:rPr>
            </w:pPr>
            <w:r>
              <w:rPr>
                <w:rFonts w:ascii="Calibri" w:hAnsi="Calibri" w:cs="Calibri"/>
                <w:color w:val="000000"/>
              </w:rPr>
              <w:t>668 Hillside Gardens Investment Plan Capital 915759</w:t>
            </w:r>
          </w:p>
          <w:p w14:paraId="6F99E560" w14:textId="77777777" w:rsidR="00585B9F" w:rsidRDefault="00585B9F" w:rsidP="00585B9F">
            <w:pPr>
              <w:rPr>
                <w:rFonts w:ascii="Calibri" w:hAnsi="Calibri" w:cs="Calibri"/>
                <w:color w:val="000000"/>
              </w:rPr>
            </w:pPr>
          </w:p>
          <w:p w14:paraId="4DD43828" w14:textId="77777777" w:rsidR="00585B9F" w:rsidRDefault="00585B9F" w:rsidP="00585B9F"/>
        </w:tc>
        <w:tc>
          <w:tcPr>
            <w:tcW w:w="7654" w:type="dxa"/>
          </w:tcPr>
          <w:p w14:paraId="08DACCC1" w14:textId="77777777" w:rsidR="00585B9F" w:rsidRDefault="00011BD7" w:rsidP="00585B9F">
            <w:r>
              <w:t xml:space="preserve">The investment includes </w:t>
            </w:r>
            <w:r w:rsidRPr="00011BD7">
              <w:t xml:space="preserve">improvements to boundary fencing and gates to improve security; resurfacing the tennis courts and MUGAs; installing floodlighting; replacing the sports court fencing with rigid mesh; redeveloping the depot building to refurbish the toilets and mess room and create income-generating opportunities; replace signage, seating and bins; resurface paths; refurbish the </w:t>
            </w:r>
            <w:r w:rsidRPr="00011BD7">
              <w:rPr>
                <w:b/>
                <w:bCs/>
              </w:rPr>
              <w:t>play area and install new equipment for a broader age range</w:t>
            </w:r>
            <w:r w:rsidRPr="00011BD7">
              <w:t>; install new drinking water fountains and an additional table-tennis table; create wall murals; replace internal fencing; improve the boundary of the dog-free picnic area and upgrade the community garden.</w:t>
            </w:r>
          </w:p>
          <w:p w14:paraId="617B249B" w14:textId="325BDA84" w:rsidR="00011BD7" w:rsidRDefault="00011BD7" w:rsidP="00585B9F"/>
        </w:tc>
        <w:tc>
          <w:tcPr>
            <w:tcW w:w="1134" w:type="dxa"/>
          </w:tcPr>
          <w:p w14:paraId="4C38327D" w14:textId="5AF7787F" w:rsidR="00585B9F" w:rsidRDefault="00585B9F" w:rsidP="00585B9F">
            <w:r w:rsidRPr="00F73AF8">
              <w:t>S106</w:t>
            </w:r>
          </w:p>
        </w:tc>
        <w:tc>
          <w:tcPr>
            <w:tcW w:w="1985" w:type="dxa"/>
          </w:tcPr>
          <w:p w14:paraId="6D30F8A8" w14:textId="77777777" w:rsidR="003A60BF" w:rsidRDefault="003A60BF" w:rsidP="003A60BF">
            <w:pPr>
              <w:rPr>
                <w:rFonts w:ascii="Calibri" w:hAnsi="Calibri" w:cs="Calibri"/>
                <w:color w:val="000000"/>
              </w:rPr>
            </w:pPr>
            <w:r>
              <w:rPr>
                <w:rFonts w:ascii="Calibri" w:hAnsi="Calibri" w:cs="Calibri"/>
                <w:color w:val="000000"/>
              </w:rPr>
              <w:t>494,056.02</w:t>
            </w:r>
          </w:p>
          <w:p w14:paraId="22F5B9A2" w14:textId="77777777" w:rsidR="00585B9F" w:rsidRDefault="00585B9F" w:rsidP="00585B9F">
            <w:pPr>
              <w:rPr>
                <w:rFonts w:ascii="Calibri" w:hAnsi="Calibri" w:cs="Calibri"/>
                <w:color w:val="000000"/>
              </w:rPr>
            </w:pPr>
          </w:p>
        </w:tc>
        <w:tc>
          <w:tcPr>
            <w:tcW w:w="1275" w:type="dxa"/>
          </w:tcPr>
          <w:p w14:paraId="47DF359F" w14:textId="6DB23B5F" w:rsidR="00585B9F" w:rsidRDefault="00585B9F" w:rsidP="003A60BF">
            <w:r w:rsidRPr="00057F00">
              <w:t>2018/19</w:t>
            </w:r>
          </w:p>
        </w:tc>
      </w:tr>
      <w:tr w:rsidR="00585B9F" w:rsidRPr="00585B9F" w14:paraId="6A66118B" w14:textId="77777777" w:rsidTr="003A60BF">
        <w:trPr>
          <w:trHeight w:val="300"/>
        </w:trPr>
        <w:tc>
          <w:tcPr>
            <w:tcW w:w="2689" w:type="dxa"/>
            <w:noWrap/>
            <w:hideMark/>
          </w:tcPr>
          <w:p w14:paraId="6E124647"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646 Brockwell Park Improvements</w:t>
            </w:r>
          </w:p>
        </w:tc>
        <w:tc>
          <w:tcPr>
            <w:tcW w:w="7654" w:type="dxa"/>
            <w:noWrap/>
          </w:tcPr>
          <w:p w14:paraId="40B31C92" w14:textId="77777777" w:rsidR="00585B9F" w:rsidRDefault="00011BD7" w:rsidP="00011BD7">
            <w:pPr>
              <w:tabs>
                <w:tab w:val="left" w:pos="465"/>
              </w:tabs>
              <w:rPr>
                <w:rFonts w:ascii="Calibri" w:eastAsia="Times New Roman" w:hAnsi="Calibri" w:cs="Calibri"/>
                <w:color w:val="000000"/>
                <w:lang w:eastAsia="en-GB"/>
              </w:rPr>
            </w:pPr>
            <w:r>
              <w:rPr>
                <w:rFonts w:ascii="Calibri" w:eastAsia="Times New Roman" w:hAnsi="Calibri" w:cs="Calibri"/>
                <w:color w:val="000000"/>
                <w:lang w:eastAsia="en-GB"/>
              </w:rPr>
              <w:t xml:space="preserve">The works include improvements to children’s play areas, installing new play equipment, as well as improvements to the toilets within the main play area and adjacent to the </w:t>
            </w:r>
            <w:proofErr w:type="gramStart"/>
            <w:r>
              <w:rPr>
                <w:rFonts w:ascii="Calibri" w:eastAsia="Times New Roman" w:hAnsi="Calibri" w:cs="Calibri"/>
                <w:color w:val="000000"/>
                <w:lang w:eastAsia="en-GB"/>
              </w:rPr>
              <w:t>wet-play</w:t>
            </w:r>
            <w:proofErr w:type="gramEnd"/>
            <w:r>
              <w:rPr>
                <w:rFonts w:ascii="Calibri" w:eastAsia="Times New Roman" w:hAnsi="Calibri" w:cs="Calibri"/>
                <w:color w:val="000000"/>
                <w:lang w:eastAsia="en-GB"/>
              </w:rPr>
              <w:t>.</w:t>
            </w:r>
          </w:p>
          <w:p w14:paraId="4E1F0D33" w14:textId="25E797B1" w:rsidR="00011BD7" w:rsidRPr="00585B9F" w:rsidRDefault="00011BD7" w:rsidP="00011BD7">
            <w:pPr>
              <w:tabs>
                <w:tab w:val="left" w:pos="465"/>
              </w:tabs>
              <w:rPr>
                <w:rFonts w:ascii="Calibri" w:eastAsia="Times New Roman" w:hAnsi="Calibri" w:cs="Calibri"/>
                <w:color w:val="000000"/>
                <w:lang w:eastAsia="en-GB"/>
              </w:rPr>
            </w:pPr>
          </w:p>
        </w:tc>
        <w:tc>
          <w:tcPr>
            <w:tcW w:w="1134" w:type="dxa"/>
            <w:noWrap/>
            <w:hideMark/>
          </w:tcPr>
          <w:p w14:paraId="184A3DAA" w14:textId="7273918B" w:rsidR="00585B9F" w:rsidRPr="00585B9F" w:rsidRDefault="00585B9F" w:rsidP="00585B9F">
            <w:pPr>
              <w:rPr>
                <w:rFonts w:ascii="Calibri" w:eastAsia="Times New Roman" w:hAnsi="Calibri" w:cs="Calibri"/>
                <w:color w:val="000000"/>
                <w:lang w:eastAsia="en-GB"/>
              </w:rPr>
            </w:pPr>
            <w:r w:rsidRPr="002D36E7">
              <w:t>S106</w:t>
            </w:r>
          </w:p>
        </w:tc>
        <w:tc>
          <w:tcPr>
            <w:tcW w:w="1985" w:type="dxa"/>
            <w:noWrap/>
            <w:hideMark/>
          </w:tcPr>
          <w:p w14:paraId="732C57F4" w14:textId="6D2F59F5"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31,525.11</w:t>
            </w:r>
          </w:p>
        </w:tc>
        <w:tc>
          <w:tcPr>
            <w:tcW w:w="1275" w:type="dxa"/>
            <w:noWrap/>
          </w:tcPr>
          <w:p w14:paraId="07372A7F" w14:textId="3BB0FFD6"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2019/20</w:t>
            </w:r>
          </w:p>
        </w:tc>
      </w:tr>
      <w:tr w:rsidR="003A60BF" w:rsidRPr="00585B9F" w14:paraId="2FF905AA" w14:textId="77777777" w:rsidTr="003A60BF">
        <w:trPr>
          <w:trHeight w:val="300"/>
        </w:trPr>
        <w:tc>
          <w:tcPr>
            <w:tcW w:w="2689" w:type="dxa"/>
            <w:noWrap/>
            <w:hideMark/>
          </w:tcPr>
          <w:p w14:paraId="68BBDF4E"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651 Lambeth Walk Open Space New Play Area</w:t>
            </w:r>
          </w:p>
        </w:tc>
        <w:tc>
          <w:tcPr>
            <w:tcW w:w="7654" w:type="dxa"/>
            <w:noWrap/>
          </w:tcPr>
          <w:p w14:paraId="3AC65A31" w14:textId="554713AA" w:rsidR="00585B9F" w:rsidRDefault="00011BD7" w:rsidP="00011BD7">
            <w:pPr>
              <w:rPr>
                <w:rFonts w:ascii="Calibri" w:eastAsia="Times New Roman" w:hAnsi="Calibri" w:cs="Calibri"/>
                <w:color w:val="000000"/>
                <w:lang w:eastAsia="en-GB"/>
              </w:rPr>
            </w:pPr>
            <w:r>
              <w:rPr>
                <w:rFonts w:ascii="Calibri" w:eastAsia="Times New Roman" w:hAnsi="Calibri" w:cs="Calibri"/>
                <w:color w:val="000000"/>
                <w:lang w:eastAsia="en-GB"/>
              </w:rPr>
              <w:t>The investment is to create a new off-site play provision aimed at 7–12-year-olds within Lambeth Walk Open Space.</w:t>
            </w:r>
          </w:p>
          <w:p w14:paraId="0A729D10" w14:textId="4C42D3DB" w:rsidR="00011BD7" w:rsidRPr="00585B9F" w:rsidRDefault="00011BD7" w:rsidP="00011BD7">
            <w:pPr>
              <w:rPr>
                <w:rFonts w:ascii="Calibri" w:eastAsia="Times New Roman" w:hAnsi="Calibri" w:cs="Calibri"/>
                <w:color w:val="000000"/>
                <w:lang w:eastAsia="en-GB"/>
              </w:rPr>
            </w:pPr>
          </w:p>
        </w:tc>
        <w:tc>
          <w:tcPr>
            <w:tcW w:w="1134" w:type="dxa"/>
            <w:noWrap/>
            <w:hideMark/>
          </w:tcPr>
          <w:p w14:paraId="6A002D9A" w14:textId="59772490" w:rsidR="00585B9F" w:rsidRPr="00585B9F" w:rsidRDefault="00585B9F" w:rsidP="00585B9F">
            <w:pPr>
              <w:rPr>
                <w:rFonts w:ascii="Calibri" w:eastAsia="Times New Roman" w:hAnsi="Calibri" w:cs="Calibri"/>
                <w:color w:val="000000"/>
                <w:lang w:eastAsia="en-GB"/>
              </w:rPr>
            </w:pPr>
            <w:r w:rsidRPr="002D36E7">
              <w:t>S106</w:t>
            </w:r>
          </w:p>
        </w:tc>
        <w:tc>
          <w:tcPr>
            <w:tcW w:w="1985" w:type="dxa"/>
            <w:noWrap/>
            <w:hideMark/>
          </w:tcPr>
          <w:p w14:paraId="23E24F07" w14:textId="700E2301"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92,833.00</w:t>
            </w:r>
          </w:p>
        </w:tc>
        <w:tc>
          <w:tcPr>
            <w:tcW w:w="1275" w:type="dxa"/>
            <w:noWrap/>
          </w:tcPr>
          <w:p w14:paraId="3BFE9077" w14:textId="7257E75D"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2019/20</w:t>
            </w:r>
          </w:p>
        </w:tc>
      </w:tr>
      <w:tr w:rsidR="003A60BF" w:rsidRPr="00585B9F" w14:paraId="592AEECC" w14:textId="77777777" w:rsidTr="003A60BF">
        <w:trPr>
          <w:trHeight w:val="300"/>
        </w:trPr>
        <w:tc>
          <w:tcPr>
            <w:tcW w:w="2689" w:type="dxa"/>
            <w:noWrap/>
            <w:hideMark/>
          </w:tcPr>
          <w:p w14:paraId="7F5B1BD4"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693 Bolton Crescent Adventure Playground</w:t>
            </w:r>
          </w:p>
        </w:tc>
        <w:tc>
          <w:tcPr>
            <w:tcW w:w="7654" w:type="dxa"/>
            <w:noWrap/>
          </w:tcPr>
          <w:p w14:paraId="1B197996" w14:textId="77777777" w:rsidR="00585B9F" w:rsidRDefault="00011BD7" w:rsidP="00011BD7">
            <w:pPr>
              <w:rPr>
                <w:rFonts w:ascii="Calibri" w:eastAsia="Times New Roman" w:hAnsi="Calibri" w:cs="Calibri"/>
                <w:color w:val="000000"/>
                <w:lang w:eastAsia="en-GB"/>
              </w:rPr>
            </w:pPr>
            <w:r>
              <w:rPr>
                <w:rFonts w:ascii="Calibri" w:eastAsia="Times New Roman" w:hAnsi="Calibri" w:cs="Calibri"/>
                <w:color w:val="000000"/>
                <w:lang w:eastAsia="en-GB"/>
              </w:rPr>
              <w:t>Improvement works to Bolton Crescent adventure playground community facility that provides statutory short breaks services for disabled children.</w:t>
            </w:r>
          </w:p>
          <w:p w14:paraId="65478262" w14:textId="3C5EC788" w:rsidR="00011BD7" w:rsidRPr="00585B9F" w:rsidRDefault="00011BD7" w:rsidP="00011BD7">
            <w:pPr>
              <w:rPr>
                <w:rFonts w:ascii="Calibri" w:eastAsia="Times New Roman" w:hAnsi="Calibri" w:cs="Calibri"/>
                <w:color w:val="000000"/>
                <w:lang w:eastAsia="en-GB"/>
              </w:rPr>
            </w:pPr>
          </w:p>
        </w:tc>
        <w:tc>
          <w:tcPr>
            <w:tcW w:w="1134" w:type="dxa"/>
            <w:noWrap/>
            <w:hideMark/>
          </w:tcPr>
          <w:p w14:paraId="0361D8E0" w14:textId="2685DB9F" w:rsidR="00585B9F" w:rsidRPr="00585B9F" w:rsidRDefault="00585B9F" w:rsidP="00585B9F">
            <w:pPr>
              <w:rPr>
                <w:rFonts w:ascii="Calibri" w:eastAsia="Times New Roman" w:hAnsi="Calibri" w:cs="Calibri"/>
                <w:color w:val="000000"/>
                <w:lang w:eastAsia="en-GB"/>
              </w:rPr>
            </w:pPr>
            <w:r w:rsidRPr="002D36E7">
              <w:t>S106</w:t>
            </w:r>
          </w:p>
        </w:tc>
        <w:tc>
          <w:tcPr>
            <w:tcW w:w="1985" w:type="dxa"/>
            <w:noWrap/>
            <w:hideMark/>
          </w:tcPr>
          <w:p w14:paraId="5BC9B2BC" w14:textId="6A417836"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25,267.04</w:t>
            </w:r>
          </w:p>
        </w:tc>
        <w:tc>
          <w:tcPr>
            <w:tcW w:w="1275" w:type="dxa"/>
            <w:noWrap/>
          </w:tcPr>
          <w:p w14:paraId="63DABA53" w14:textId="3153DB97"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2019/20</w:t>
            </w:r>
          </w:p>
        </w:tc>
      </w:tr>
      <w:tr w:rsidR="003A60BF" w:rsidRPr="00585B9F" w14:paraId="6A058B40" w14:textId="77777777" w:rsidTr="003A60BF">
        <w:trPr>
          <w:trHeight w:val="300"/>
        </w:trPr>
        <w:tc>
          <w:tcPr>
            <w:tcW w:w="2689" w:type="dxa"/>
            <w:noWrap/>
          </w:tcPr>
          <w:p w14:paraId="29E5E541" w14:textId="77777777" w:rsidR="003A60BF" w:rsidRDefault="003A60BF" w:rsidP="00585B9F">
            <w:pPr>
              <w:rPr>
                <w:rFonts w:ascii="Calibri" w:eastAsia="Times New Roman" w:hAnsi="Calibri" w:cs="Calibri"/>
                <w:color w:val="000000"/>
                <w:lang w:eastAsia="en-GB"/>
              </w:rPr>
            </w:pPr>
            <w:r>
              <w:rPr>
                <w:rFonts w:ascii="Calibri" w:eastAsia="Times New Roman" w:hAnsi="Calibri" w:cs="Calibri"/>
                <w:color w:val="000000"/>
                <w:lang w:eastAsia="en-GB"/>
              </w:rPr>
              <w:t xml:space="preserve">Parks Investment </w:t>
            </w:r>
            <w:r w:rsidRPr="003A60BF">
              <w:rPr>
                <w:rFonts w:ascii="Calibri" w:eastAsia="Times New Roman" w:hAnsi="Calibri" w:cs="Calibri"/>
                <w:color w:val="000000"/>
                <w:lang w:eastAsia="en-GB"/>
              </w:rPr>
              <w:t xml:space="preserve">into </w:t>
            </w:r>
          </w:p>
          <w:p w14:paraId="5CF30DEE" w14:textId="67079B83" w:rsidR="003A60BF" w:rsidRDefault="003A60BF" w:rsidP="00585B9F">
            <w:pPr>
              <w:rPr>
                <w:rFonts w:ascii="Calibri" w:eastAsia="Times New Roman" w:hAnsi="Calibri" w:cs="Calibri"/>
                <w:color w:val="000000"/>
                <w:lang w:eastAsia="en-GB"/>
              </w:rPr>
            </w:pPr>
            <w:r>
              <w:rPr>
                <w:rFonts w:ascii="Calibri" w:eastAsia="Times New Roman" w:hAnsi="Calibri" w:cs="Calibri"/>
                <w:color w:val="000000"/>
                <w:lang w:eastAsia="en-GB"/>
              </w:rPr>
              <w:t xml:space="preserve">654 </w:t>
            </w:r>
            <w:r w:rsidRPr="003A60BF">
              <w:rPr>
                <w:rFonts w:ascii="Calibri" w:eastAsia="Times New Roman" w:hAnsi="Calibri" w:cs="Calibri"/>
                <w:color w:val="000000"/>
                <w:lang w:eastAsia="en-GB"/>
              </w:rPr>
              <w:t xml:space="preserve">Loughborough Park, </w:t>
            </w:r>
          </w:p>
          <w:p w14:paraId="7345B331" w14:textId="77777777" w:rsidR="003A60BF" w:rsidRDefault="003A60BF" w:rsidP="00585B9F">
            <w:pPr>
              <w:rPr>
                <w:rFonts w:ascii="Calibri" w:eastAsia="Times New Roman" w:hAnsi="Calibri" w:cs="Calibri"/>
                <w:color w:val="000000"/>
                <w:lang w:eastAsia="en-GB"/>
              </w:rPr>
            </w:pPr>
            <w:r>
              <w:rPr>
                <w:rFonts w:ascii="Calibri" w:eastAsia="Times New Roman" w:hAnsi="Calibri" w:cs="Calibri"/>
                <w:color w:val="000000"/>
                <w:lang w:eastAsia="en-GB"/>
              </w:rPr>
              <w:t xml:space="preserve">653 </w:t>
            </w:r>
            <w:r w:rsidRPr="003A60BF">
              <w:rPr>
                <w:rFonts w:ascii="Calibri" w:eastAsia="Times New Roman" w:hAnsi="Calibri" w:cs="Calibri"/>
                <w:color w:val="000000"/>
                <w:lang w:eastAsia="en-GB"/>
              </w:rPr>
              <w:t xml:space="preserve">Old Paradise Gardens, </w:t>
            </w:r>
          </w:p>
          <w:p w14:paraId="463DC819" w14:textId="77777777" w:rsidR="003A60BF" w:rsidRDefault="003A60BF" w:rsidP="00585B9F">
            <w:pPr>
              <w:rPr>
                <w:rFonts w:ascii="Calibri" w:eastAsia="Times New Roman" w:hAnsi="Calibri" w:cs="Calibri"/>
                <w:color w:val="000000"/>
                <w:lang w:eastAsia="en-GB"/>
              </w:rPr>
            </w:pPr>
            <w:r>
              <w:rPr>
                <w:rFonts w:ascii="Calibri" w:eastAsia="Times New Roman" w:hAnsi="Calibri" w:cs="Calibri"/>
                <w:color w:val="000000"/>
                <w:lang w:eastAsia="en-GB"/>
              </w:rPr>
              <w:t xml:space="preserve">656 </w:t>
            </w:r>
            <w:r w:rsidRPr="003A60BF">
              <w:rPr>
                <w:rFonts w:ascii="Calibri" w:eastAsia="Times New Roman" w:hAnsi="Calibri" w:cs="Calibri"/>
                <w:color w:val="000000"/>
                <w:lang w:eastAsia="en-GB"/>
              </w:rPr>
              <w:t xml:space="preserve">Pedlars Park and </w:t>
            </w:r>
          </w:p>
          <w:p w14:paraId="69D04AB6" w14:textId="7398C155" w:rsidR="003A60BF" w:rsidRPr="00585B9F" w:rsidRDefault="003A60BF" w:rsidP="00585B9F">
            <w:p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490 </w:t>
            </w:r>
            <w:r w:rsidRPr="003A60BF">
              <w:rPr>
                <w:rFonts w:ascii="Calibri" w:eastAsia="Times New Roman" w:hAnsi="Calibri" w:cs="Calibri"/>
                <w:color w:val="000000"/>
                <w:lang w:eastAsia="en-GB"/>
              </w:rPr>
              <w:t>Vauxhall Park</w:t>
            </w:r>
          </w:p>
        </w:tc>
        <w:tc>
          <w:tcPr>
            <w:tcW w:w="7654" w:type="dxa"/>
            <w:noWrap/>
          </w:tcPr>
          <w:p w14:paraId="3FACD3E8" w14:textId="77777777" w:rsidR="003A60BF" w:rsidRDefault="003A60BF" w:rsidP="003A60BF">
            <w:pPr>
              <w:tabs>
                <w:tab w:val="left" w:pos="180"/>
              </w:tabs>
            </w:pPr>
            <w:r>
              <w:lastRenderedPageBreak/>
              <w:t xml:space="preserve">A </w:t>
            </w:r>
            <w:r>
              <w:t xml:space="preserve">total of £984,282.53 is invested in the following parks assets, comprising: </w:t>
            </w:r>
          </w:p>
          <w:p w14:paraId="106186E7" w14:textId="77777777" w:rsidR="003A60BF" w:rsidRDefault="003A60BF" w:rsidP="003A60BF">
            <w:pPr>
              <w:tabs>
                <w:tab w:val="left" w:pos="180"/>
              </w:tabs>
            </w:pPr>
            <w:r>
              <w:sym w:font="Symbol" w:char="F0B7"/>
            </w:r>
            <w:r>
              <w:t xml:space="preserve"> £147,280.60 of section 106 is investment into the play equipment in Loughborough Park </w:t>
            </w:r>
          </w:p>
          <w:p w14:paraId="58904ED4" w14:textId="77777777" w:rsidR="003A60BF" w:rsidRDefault="003A60BF" w:rsidP="003A60BF">
            <w:pPr>
              <w:tabs>
                <w:tab w:val="left" w:pos="180"/>
              </w:tabs>
            </w:pPr>
            <w:r>
              <w:lastRenderedPageBreak/>
              <w:sym w:font="Symbol" w:char="F0B7"/>
            </w:r>
            <w:r>
              <w:t xml:space="preserve"> £250,351.68 of section 106 is investment into the play equipment and infrastructure in Pedlars Park </w:t>
            </w:r>
          </w:p>
          <w:p w14:paraId="5E24CDF4" w14:textId="77777777" w:rsidR="003A60BF" w:rsidRDefault="003A60BF" w:rsidP="003A60BF">
            <w:pPr>
              <w:tabs>
                <w:tab w:val="left" w:pos="180"/>
              </w:tabs>
            </w:pPr>
            <w:r>
              <w:sym w:font="Symbol" w:char="F0B7"/>
            </w:r>
            <w:r>
              <w:t xml:space="preserve"> £108,107.19 of section 106 investment into the play equipment for children and youths in Old Paradise Gardens </w:t>
            </w:r>
          </w:p>
          <w:p w14:paraId="2B56CF63" w14:textId="77777777" w:rsidR="003A60BF" w:rsidRDefault="003A60BF" w:rsidP="003A60BF">
            <w:pPr>
              <w:tabs>
                <w:tab w:val="left" w:pos="180"/>
              </w:tabs>
            </w:pPr>
            <w:r>
              <w:sym w:font="Symbol" w:char="F0B7"/>
            </w:r>
            <w:r>
              <w:t xml:space="preserve"> £478,543.06 of section 106 is investment into infrastructure in Vauxhall Park</w:t>
            </w:r>
          </w:p>
          <w:p w14:paraId="76CF1BA7" w14:textId="75CBED2D" w:rsidR="00011BD7" w:rsidRPr="00585B9F" w:rsidRDefault="00011BD7" w:rsidP="003A60BF">
            <w:pPr>
              <w:tabs>
                <w:tab w:val="left" w:pos="180"/>
              </w:tabs>
              <w:rPr>
                <w:rFonts w:ascii="Calibri" w:eastAsia="Times New Roman" w:hAnsi="Calibri" w:cs="Calibri"/>
                <w:color w:val="000000"/>
                <w:lang w:eastAsia="en-GB"/>
              </w:rPr>
            </w:pPr>
          </w:p>
        </w:tc>
        <w:tc>
          <w:tcPr>
            <w:tcW w:w="1134" w:type="dxa"/>
            <w:noWrap/>
          </w:tcPr>
          <w:p w14:paraId="0264D952" w14:textId="4A1D61A4" w:rsidR="003A60BF" w:rsidRPr="002D36E7" w:rsidRDefault="003A60BF" w:rsidP="00585B9F">
            <w:r>
              <w:lastRenderedPageBreak/>
              <w:t>S106</w:t>
            </w:r>
          </w:p>
        </w:tc>
        <w:tc>
          <w:tcPr>
            <w:tcW w:w="1985" w:type="dxa"/>
            <w:noWrap/>
          </w:tcPr>
          <w:p w14:paraId="71F1D7CF" w14:textId="36A60042" w:rsidR="003A60BF" w:rsidRPr="00585B9F" w:rsidRDefault="003A60BF" w:rsidP="00585B9F">
            <w:pPr>
              <w:rPr>
                <w:rFonts w:ascii="Calibri" w:eastAsia="Times New Roman" w:hAnsi="Calibri" w:cs="Calibri"/>
                <w:color w:val="000000"/>
                <w:lang w:eastAsia="en-GB"/>
              </w:rPr>
            </w:pPr>
            <w:r>
              <w:rPr>
                <w:rFonts w:ascii="Calibri" w:eastAsia="Times New Roman" w:hAnsi="Calibri" w:cs="Calibri"/>
                <w:color w:val="000000"/>
                <w:lang w:eastAsia="en-GB"/>
              </w:rPr>
              <w:t>984,282.53</w:t>
            </w:r>
          </w:p>
        </w:tc>
        <w:tc>
          <w:tcPr>
            <w:tcW w:w="1275" w:type="dxa"/>
            <w:noWrap/>
          </w:tcPr>
          <w:p w14:paraId="65F102CE" w14:textId="613D590A" w:rsidR="003A60BF" w:rsidRDefault="003A60BF" w:rsidP="003A60BF">
            <w:pPr>
              <w:rPr>
                <w:rFonts w:ascii="Calibri" w:eastAsia="Times New Roman" w:hAnsi="Calibri" w:cs="Calibri"/>
                <w:color w:val="000000"/>
                <w:lang w:eastAsia="en-GB"/>
              </w:rPr>
            </w:pPr>
            <w:r>
              <w:rPr>
                <w:rFonts w:ascii="Calibri" w:eastAsia="Times New Roman" w:hAnsi="Calibri" w:cs="Calibri"/>
                <w:color w:val="000000"/>
                <w:lang w:eastAsia="en-GB"/>
              </w:rPr>
              <w:t>2019/20</w:t>
            </w:r>
          </w:p>
        </w:tc>
      </w:tr>
      <w:tr w:rsidR="003A60BF" w:rsidRPr="00585B9F" w14:paraId="140F4AE6" w14:textId="77777777" w:rsidTr="003A60BF">
        <w:trPr>
          <w:trHeight w:val="300"/>
        </w:trPr>
        <w:tc>
          <w:tcPr>
            <w:tcW w:w="2689" w:type="dxa"/>
            <w:noWrap/>
            <w:hideMark/>
          </w:tcPr>
          <w:p w14:paraId="5F17F07C"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744 Playground Refurbishment - Bolton Crescent Short Breaks</w:t>
            </w:r>
          </w:p>
        </w:tc>
        <w:tc>
          <w:tcPr>
            <w:tcW w:w="7654" w:type="dxa"/>
            <w:noWrap/>
          </w:tcPr>
          <w:p w14:paraId="01069D44" w14:textId="77777777" w:rsidR="00585B9F" w:rsidRDefault="00011BD7" w:rsidP="00011BD7">
            <w:r>
              <w:t>I</w:t>
            </w:r>
            <w:r>
              <w:t>mprovement works to the Bolton Crescent adventure playground community facility</w:t>
            </w:r>
            <w:r>
              <w:t xml:space="preserve"> </w:t>
            </w:r>
            <w:r>
              <w:t>to complete urgent remedial works including the removal, repair, and replacement of hazardous outdoor playground equipment items.</w:t>
            </w:r>
          </w:p>
          <w:p w14:paraId="34719FDC" w14:textId="7483D81C" w:rsidR="00011BD7" w:rsidRPr="00585B9F" w:rsidRDefault="00011BD7" w:rsidP="00011BD7">
            <w:pPr>
              <w:rPr>
                <w:rFonts w:ascii="Calibri" w:eastAsia="Times New Roman" w:hAnsi="Calibri" w:cs="Calibri"/>
                <w:color w:val="000000"/>
                <w:lang w:eastAsia="en-GB"/>
              </w:rPr>
            </w:pPr>
          </w:p>
        </w:tc>
        <w:tc>
          <w:tcPr>
            <w:tcW w:w="1134" w:type="dxa"/>
            <w:noWrap/>
            <w:hideMark/>
          </w:tcPr>
          <w:p w14:paraId="060E9A76" w14:textId="5D82AD6C" w:rsidR="00585B9F" w:rsidRPr="00585B9F" w:rsidRDefault="00585B9F" w:rsidP="00585B9F">
            <w:pPr>
              <w:rPr>
                <w:rFonts w:ascii="Calibri" w:eastAsia="Times New Roman" w:hAnsi="Calibri" w:cs="Calibri"/>
                <w:color w:val="000000"/>
                <w:lang w:eastAsia="en-GB"/>
              </w:rPr>
            </w:pPr>
            <w:r w:rsidRPr="002D36E7">
              <w:t>S106</w:t>
            </w:r>
          </w:p>
        </w:tc>
        <w:tc>
          <w:tcPr>
            <w:tcW w:w="1985" w:type="dxa"/>
            <w:noWrap/>
            <w:hideMark/>
          </w:tcPr>
          <w:p w14:paraId="794844AE" w14:textId="5BFD16F4"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32,759.50</w:t>
            </w:r>
          </w:p>
        </w:tc>
        <w:tc>
          <w:tcPr>
            <w:tcW w:w="1275" w:type="dxa"/>
            <w:noWrap/>
          </w:tcPr>
          <w:p w14:paraId="647FC0AB" w14:textId="2ABBED4F"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2020/21</w:t>
            </w:r>
          </w:p>
        </w:tc>
      </w:tr>
      <w:tr w:rsidR="003A60BF" w:rsidRPr="00585B9F" w14:paraId="4D87342D" w14:textId="77777777" w:rsidTr="003A60BF">
        <w:trPr>
          <w:trHeight w:val="300"/>
        </w:trPr>
        <w:tc>
          <w:tcPr>
            <w:tcW w:w="2689" w:type="dxa"/>
            <w:noWrap/>
            <w:hideMark/>
          </w:tcPr>
          <w:p w14:paraId="29B906D0"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748 Jubilee Gardens Play Area Refurbishment</w:t>
            </w:r>
          </w:p>
        </w:tc>
        <w:tc>
          <w:tcPr>
            <w:tcW w:w="7654" w:type="dxa"/>
            <w:noWrap/>
          </w:tcPr>
          <w:p w14:paraId="5C0F79A1" w14:textId="77777777" w:rsidR="00585B9F" w:rsidRDefault="00011BD7" w:rsidP="00011BD7">
            <w:r>
              <w:t>T</w:t>
            </w:r>
            <w:r w:rsidRPr="00011BD7">
              <w:t xml:space="preserve">o refurbish the play area on </w:t>
            </w:r>
            <w:r>
              <w:t>Jubilee Gardens to</w:t>
            </w:r>
            <w:r w:rsidRPr="00011BD7">
              <w:t xml:space="preserve"> allow improved access to play provision the north of borough where open space is limited.</w:t>
            </w:r>
          </w:p>
          <w:p w14:paraId="3A472850" w14:textId="0A14D3D6" w:rsidR="008F46DF" w:rsidRPr="00585B9F" w:rsidRDefault="008F46DF" w:rsidP="00011BD7">
            <w:pPr>
              <w:rPr>
                <w:rFonts w:ascii="Calibri" w:eastAsia="Times New Roman" w:hAnsi="Calibri" w:cs="Calibri"/>
                <w:color w:val="000000"/>
                <w:lang w:eastAsia="en-GB"/>
              </w:rPr>
            </w:pPr>
          </w:p>
        </w:tc>
        <w:tc>
          <w:tcPr>
            <w:tcW w:w="1134" w:type="dxa"/>
            <w:noWrap/>
            <w:hideMark/>
          </w:tcPr>
          <w:p w14:paraId="56E25B3B" w14:textId="3CC33EE2" w:rsidR="00585B9F" w:rsidRPr="00585B9F" w:rsidRDefault="00585B9F" w:rsidP="00585B9F">
            <w:pPr>
              <w:rPr>
                <w:rFonts w:ascii="Calibri" w:eastAsia="Times New Roman" w:hAnsi="Calibri" w:cs="Calibri"/>
                <w:color w:val="000000"/>
                <w:lang w:eastAsia="en-GB"/>
              </w:rPr>
            </w:pPr>
            <w:r w:rsidRPr="002D36E7">
              <w:t>S106</w:t>
            </w:r>
          </w:p>
        </w:tc>
        <w:tc>
          <w:tcPr>
            <w:tcW w:w="1985" w:type="dxa"/>
            <w:noWrap/>
            <w:hideMark/>
          </w:tcPr>
          <w:p w14:paraId="44D2BBED" w14:textId="521BA1D1"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162,315.36</w:t>
            </w:r>
          </w:p>
        </w:tc>
        <w:tc>
          <w:tcPr>
            <w:tcW w:w="1275" w:type="dxa"/>
            <w:noWrap/>
          </w:tcPr>
          <w:p w14:paraId="6380569A" w14:textId="0C550959"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2020/21</w:t>
            </w:r>
          </w:p>
        </w:tc>
      </w:tr>
      <w:tr w:rsidR="003A60BF" w:rsidRPr="00585B9F" w14:paraId="561AB02C" w14:textId="77777777" w:rsidTr="003A60BF">
        <w:trPr>
          <w:trHeight w:val="300"/>
        </w:trPr>
        <w:tc>
          <w:tcPr>
            <w:tcW w:w="2689" w:type="dxa"/>
            <w:noWrap/>
            <w:hideMark/>
          </w:tcPr>
          <w:p w14:paraId="56E98135"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795 Fenwick Estate Play Area Improvements</w:t>
            </w:r>
          </w:p>
        </w:tc>
        <w:tc>
          <w:tcPr>
            <w:tcW w:w="7654" w:type="dxa"/>
            <w:noWrap/>
          </w:tcPr>
          <w:p w14:paraId="37C8AE71" w14:textId="77777777" w:rsidR="008F46DF" w:rsidRDefault="008F46DF" w:rsidP="008F46DF">
            <w:r>
              <w:t>It is proposed to make improvements to Fenwick Estate play areas; this includes Fenwick Community Hall play area, Willington Road, SW9 9ND and the under</w:t>
            </w:r>
            <w:r>
              <w:t>-</w:t>
            </w:r>
            <w:r>
              <w:t xml:space="preserve">fives play area, Cottage Grove, SW9 9NQ. </w:t>
            </w:r>
          </w:p>
          <w:p w14:paraId="5469B89E" w14:textId="77777777" w:rsidR="008F46DF" w:rsidRDefault="008F46DF" w:rsidP="008F46DF">
            <w:r>
              <w:t xml:space="preserve">The bulk of the improvements will be made to the larger, Willington Road, play area that is also in greater use </w:t>
            </w:r>
          </w:p>
          <w:p w14:paraId="00696B63" w14:textId="77777777" w:rsidR="008F46DF" w:rsidRDefault="008F46DF" w:rsidP="008F46DF">
            <w:r>
              <w:t xml:space="preserve">Proposals for the Community Hall, Willington Road play area include: </w:t>
            </w:r>
          </w:p>
          <w:p w14:paraId="053014A0" w14:textId="77777777" w:rsidR="008F46DF" w:rsidRDefault="008F46DF" w:rsidP="008F46DF">
            <w:r>
              <w:t xml:space="preserve">• Re-designing the layout to make better use of the space; </w:t>
            </w:r>
          </w:p>
          <w:p w14:paraId="6812A252" w14:textId="77777777" w:rsidR="008F46DF" w:rsidRDefault="008F46DF" w:rsidP="008F46DF">
            <w:r>
              <w:t xml:space="preserve">• Improvements to the basketball area, including line markings and renewal of the surface; </w:t>
            </w:r>
          </w:p>
          <w:p w14:paraId="074EBD29" w14:textId="77777777" w:rsidR="008F46DF" w:rsidRDefault="008F46DF" w:rsidP="008F46DF">
            <w:r>
              <w:t xml:space="preserve">• Removal of non-compliant equipment and equipment that is not used; </w:t>
            </w:r>
          </w:p>
          <w:p w14:paraId="1EC0A6CA" w14:textId="77777777" w:rsidR="008F46DF" w:rsidRDefault="008F46DF" w:rsidP="008F46DF">
            <w:r>
              <w:t xml:space="preserve">• Provision of new play equipment; </w:t>
            </w:r>
          </w:p>
          <w:p w14:paraId="1658A15A" w14:textId="77777777" w:rsidR="008F46DF" w:rsidRDefault="008F46DF" w:rsidP="008F46DF">
            <w:r>
              <w:t xml:space="preserve">• Installation of outdoor adult gym equipment; </w:t>
            </w:r>
          </w:p>
          <w:p w14:paraId="731B60C5" w14:textId="77777777" w:rsidR="008F46DF" w:rsidRDefault="008F46DF" w:rsidP="008F46DF">
            <w:r>
              <w:t xml:space="preserve">• Provision of picnic tables to create a community space for </w:t>
            </w:r>
            <w:proofErr w:type="gramStart"/>
            <w:r>
              <w:t>residents’</w:t>
            </w:r>
            <w:proofErr w:type="gramEnd"/>
            <w:r>
              <w:t xml:space="preserve"> to gather; </w:t>
            </w:r>
          </w:p>
          <w:p w14:paraId="7ED312A8" w14:textId="77777777" w:rsidR="008F46DF" w:rsidRDefault="008F46DF" w:rsidP="008F46DF">
            <w:r>
              <w:t xml:space="preserve">• Use of the surrounding wall to install games (integral to the wall); </w:t>
            </w:r>
          </w:p>
          <w:p w14:paraId="121277DD" w14:textId="77777777" w:rsidR="008F46DF" w:rsidRDefault="008F46DF" w:rsidP="008F46DF">
            <w:r>
              <w:t xml:space="preserve">• New signage to make the area more visible. </w:t>
            </w:r>
          </w:p>
          <w:p w14:paraId="650F70EA" w14:textId="77777777" w:rsidR="008F46DF" w:rsidRDefault="008F46DF" w:rsidP="008F46DF"/>
          <w:p w14:paraId="67682545" w14:textId="77777777" w:rsidR="008F46DF" w:rsidRDefault="008F46DF" w:rsidP="008F46DF">
            <w:r>
              <w:t xml:space="preserve">Proposals for the under-fives play area include: </w:t>
            </w:r>
          </w:p>
          <w:p w14:paraId="774C5A0F" w14:textId="1C6B9CB9" w:rsidR="008F46DF" w:rsidRDefault="008F46DF" w:rsidP="008F46DF">
            <w:r>
              <w:t xml:space="preserve">• Refresh/repair multi-use play unit; </w:t>
            </w:r>
          </w:p>
          <w:p w14:paraId="0259887A" w14:textId="77777777" w:rsidR="008F46DF" w:rsidRDefault="008F46DF" w:rsidP="008F46DF">
            <w:r>
              <w:t xml:space="preserve">• Renew play-ground surface </w:t>
            </w:r>
          </w:p>
          <w:p w14:paraId="62C79868" w14:textId="1E2EBEC7" w:rsidR="008F46DF" w:rsidRDefault="008F46DF" w:rsidP="008F46DF">
            <w:r>
              <w:t xml:space="preserve">• Paint the fence </w:t>
            </w:r>
          </w:p>
          <w:p w14:paraId="7734885C" w14:textId="77777777" w:rsidR="008F46DF" w:rsidRDefault="008F46DF" w:rsidP="008F46DF">
            <w:r>
              <w:lastRenderedPageBreak/>
              <w:t xml:space="preserve">• Install a gate, to improve safety; </w:t>
            </w:r>
          </w:p>
          <w:p w14:paraId="459921AA" w14:textId="77777777" w:rsidR="008F46DF" w:rsidRDefault="008F46DF" w:rsidP="008F46DF">
            <w:r>
              <w:t xml:space="preserve">• Install seating, to provide a place for carers to sit and potentially encourage more use of the area; </w:t>
            </w:r>
          </w:p>
          <w:p w14:paraId="7CB44FD3" w14:textId="77777777" w:rsidR="008F46DF" w:rsidRDefault="008F46DF" w:rsidP="008F46DF">
            <w:r>
              <w:t xml:space="preserve">• Additional equipment suitable for </w:t>
            </w:r>
            <w:proofErr w:type="spellStart"/>
            <w:r>
              <w:t>under fives</w:t>
            </w:r>
            <w:proofErr w:type="spellEnd"/>
            <w:r>
              <w:t xml:space="preserve">; </w:t>
            </w:r>
          </w:p>
          <w:p w14:paraId="5B5C7FEB" w14:textId="77777777" w:rsidR="00585B9F" w:rsidRDefault="008F46DF" w:rsidP="008F46DF">
            <w:r>
              <w:t>• Install bollards outside playground wall to improve safety by preventing traffic hitting the wall</w:t>
            </w:r>
          </w:p>
          <w:p w14:paraId="570EA672" w14:textId="19227E85" w:rsidR="008F46DF" w:rsidRPr="00585B9F" w:rsidRDefault="008F46DF" w:rsidP="008F46DF">
            <w:pPr>
              <w:rPr>
                <w:rFonts w:ascii="Calibri" w:eastAsia="Times New Roman" w:hAnsi="Calibri" w:cs="Calibri"/>
                <w:color w:val="000000"/>
                <w:lang w:eastAsia="en-GB"/>
              </w:rPr>
            </w:pPr>
          </w:p>
        </w:tc>
        <w:tc>
          <w:tcPr>
            <w:tcW w:w="1134" w:type="dxa"/>
            <w:noWrap/>
            <w:hideMark/>
          </w:tcPr>
          <w:p w14:paraId="6814353C" w14:textId="07EC06A3" w:rsidR="00585B9F" w:rsidRPr="00585B9F" w:rsidRDefault="00585B9F" w:rsidP="00585B9F">
            <w:pPr>
              <w:rPr>
                <w:rFonts w:ascii="Calibri" w:eastAsia="Times New Roman" w:hAnsi="Calibri" w:cs="Calibri"/>
                <w:color w:val="000000"/>
                <w:lang w:eastAsia="en-GB"/>
              </w:rPr>
            </w:pPr>
            <w:r w:rsidRPr="002D36E7">
              <w:lastRenderedPageBreak/>
              <w:t>S106</w:t>
            </w:r>
          </w:p>
        </w:tc>
        <w:tc>
          <w:tcPr>
            <w:tcW w:w="1985" w:type="dxa"/>
            <w:noWrap/>
            <w:hideMark/>
          </w:tcPr>
          <w:p w14:paraId="6A4B261F" w14:textId="0503BA6E"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58,553.25</w:t>
            </w:r>
          </w:p>
        </w:tc>
        <w:tc>
          <w:tcPr>
            <w:tcW w:w="1275" w:type="dxa"/>
            <w:noWrap/>
          </w:tcPr>
          <w:p w14:paraId="60025F9B" w14:textId="5FA6252C"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2022/23</w:t>
            </w:r>
          </w:p>
        </w:tc>
      </w:tr>
      <w:tr w:rsidR="003A60BF" w:rsidRPr="00585B9F" w14:paraId="6F9B1232" w14:textId="77777777" w:rsidTr="003A60BF">
        <w:trPr>
          <w:trHeight w:val="300"/>
        </w:trPr>
        <w:tc>
          <w:tcPr>
            <w:tcW w:w="2689" w:type="dxa"/>
            <w:noWrap/>
            <w:hideMark/>
          </w:tcPr>
          <w:p w14:paraId="58E57348" w14:textId="77777777"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796 Notre Dame Estate Play Area Improvements</w:t>
            </w:r>
          </w:p>
        </w:tc>
        <w:tc>
          <w:tcPr>
            <w:tcW w:w="7654" w:type="dxa"/>
            <w:noWrap/>
          </w:tcPr>
          <w:p w14:paraId="66091B0D" w14:textId="77777777" w:rsidR="00585B9F" w:rsidRDefault="008F46DF" w:rsidP="008F46DF">
            <w:r>
              <w:t xml:space="preserve">The investment is to </w:t>
            </w:r>
            <w:r>
              <w:t xml:space="preserve">improve the play area, which include new play equipment, picnic tables, a </w:t>
            </w:r>
            <w:proofErr w:type="spellStart"/>
            <w:r>
              <w:t>teqball</w:t>
            </w:r>
            <w:proofErr w:type="spellEnd"/>
            <w:r>
              <w:t xml:space="preserve"> table, reinstallation of the existing fence and a gate to create a separate area for planting</w:t>
            </w:r>
          </w:p>
          <w:p w14:paraId="75846F30" w14:textId="06A43EC7" w:rsidR="008F46DF" w:rsidRPr="00585B9F" w:rsidRDefault="008F46DF" w:rsidP="008F46DF">
            <w:pPr>
              <w:rPr>
                <w:rFonts w:ascii="Calibri" w:eastAsia="Times New Roman" w:hAnsi="Calibri" w:cs="Calibri"/>
                <w:color w:val="000000"/>
                <w:lang w:eastAsia="en-GB"/>
              </w:rPr>
            </w:pPr>
          </w:p>
        </w:tc>
        <w:tc>
          <w:tcPr>
            <w:tcW w:w="1134" w:type="dxa"/>
            <w:noWrap/>
            <w:hideMark/>
          </w:tcPr>
          <w:p w14:paraId="74AA8310" w14:textId="6F5054E1" w:rsidR="00585B9F" w:rsidRPr="00585B9F" w:rsidRDefault="00585B9F" w:rsidP="00585B9F">
            <w:pPr>
              <w:rPr>
                <w:rFonts w:ascii="Calibri" w:eastAsia="Times New Roman" w:hAnsi="Calibri" w:cs="Calibri"/>
                <w:color w:val="000000"/>
                <w:lang w:eastAsia="en-GB"/>
              </w:rPr>
            </w:pPr>
            <w:r w:rsidRPr="002D36E7">
              <w:t>S106</w:t>
            </w:r>
          </w:p>
        </w:tc>
        <w:tc>
          <w:tcPr>
            <w:tcW w:w="1985" w:type="dxa"/>
            <w:noWrap/>
            <w:hideMark/>
          </w:tcPr>
          <w:p w14:paraId="4C72FC1E" w14:textId="4188E4FF" w:rsidR="00585B9F" w:rsidRPr="00585B9F" w:rsidRDefault="00585B9F" w:rsidP="00585B9F">
            <w:pPr>
              <w:rPr>
                <w:rFonts w:ascii="Calibri" w:eastAsia="Times New Roman" w:hAnsi="Calibri" w:cs="Calibri"/>
                <w:color w:val="000000"/>
                <w:lang w:eastAsia="en-GB"/>
              </w:rPr>
            </w:pPr>
            <w:r w:rsidRPr="00585B9F">
              <w:rPr>
                <w:rFonts w:ascii="Calibri" w:eastAsia="Times New Roman" w:hAnsi="Calibri" w:cs="Calibri"/>
                <w:color w:val="000000"/>
                <w:lang w:eastAsia="en-GB"/>
              </w:rPr>
              <w:t>59,708.73</w:t>
            </w:r>
          </w:p>
        </w:tc>
        <w:tc>
          <w:tcPr>
            <w:tcW w:w="1275" w:type="dxa"/>
            <w:noWrap/>
          </w:tcPr>
          <w:p w14:paraId="723ED5C0" w14:textId="67F8ACDF" w:rsidR="00585B9F" w:rsidRPr="00585B9F" w:rsidRDefault="00585B9F" w:rsidP="003A60BF">
            <w:pPr>
              <w:rPr>
                <w:rFonts w:ascii="Calibri" w:eastAsia="Times New Roman" w:hAnsi="Calibri" w:cs="Calibri"/>
                <w:color w:val="000000"/>
                <w:lang w:eastAsia="en-GB"/>
              </w:rPr>
            </w:pPr>
            <w:r>
              <w:rPr>
                <w:rFonts w:ascii="Calibri" w:eastAsia="Times New Roman" w:hAnsi="Calibri" w:cs="Calibri"/>
                <w:color w:val="000000"/>
                <w:lang w:eastAsia="en-GB"/>
              </w:rPr>
              <w:t>2022/23</w:t>
            </w:r>
          </w:p>
        </w:tc>
      </w:tr>
    </w:tbl>
    <w:p w14:paraId="2765A5A4" w14:textId="1DC0A856" w:rsidR="008A136E" w:rsidRDefault="008A136E"/>
    <w:sectPr w:rsidR="008A136E" w:rsidSect="008A13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6E"/>
    <w:rsid w:val="00011BD7"/>
    <w:rsid w:val="002D0077"/>
    <w:rsid w:val="003A60BF"/>
    <w:rsid w:val="00534EBC"/>
    <w:rsid w:val="00585B9F"/>
    <w:rsid w:val="008A136E"/>
    <w:rsid w:val="008F46DF"/>
    <w:rsid w:val="00985C5A"/>
    <w:rsid w:val="00C01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BE29"/>
  <w15:chartTrackingRefBased/>
  <w15:docId w15:val="{80FD9E3E-A3CD-4D09-9482-E3EE327D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paras">
    <w:name w:val="report text paras"/>
    <w:basedOn w:val="Normal"/>
    <w:uiPriority w:val="99"/>
    <w:rsid w:val="00985C5A"/>
    <w:pPr>
      <w:tabs>
        <w:tab w:val="num" w:pos="720"/>
      </w:tabs>
      <w:spacing w:before="60" w:after="240" w:line="240" w:lineRule="auto"/>
      <w:ind w:left="720" w:hanging="72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910">
      <w:bodyDiv w:val="1"/>
      <w:marLeft w:val="0"/>
      <w:marRight w:val="0"/>
      <w:marTop w:val="0"/>
      <w:marBottom w:val="0"/>
      <w:divBdr>
        <w:top w:val="none" w:sz="0" w:space="0" w:color="auto"/>
        <w:left w:val="none" w:sz="0" w:space="0" w:color="auto"/>
        <w:bottom w:val="none" w:sz="0" w:space="0" w:color="auto"/>
        <w:right w:val="none" w:sz="0" w:space="0" w:color="auto"/>
      </w:divBdr>
    </w:div>
    <w:div w:id="183204768">
      <w:bodyDiv w:val="1"/>
      <w:marLeft w:val="0"/>
      <w:marRight w:val="0"/>
      <w:marTop w:val="0"/>
      <w:marBottom w:val="0"/>
      <w:divBdr>
        <w:top w:val="none" w:sz="0" w:space="0" w:color="auto"/>
        <w:left w:val="none" w:sz="0" w:space="0" w:color="auto"/>
        <w:bottom w:val="none" w:sz="0" w:space="0" w:color="auto"/>
        <w:right w:val="none" w:sz="0" w:space="0" w:color="auto"/>
      </w:divBdr>
    </w:div>
    <w:div w:id="217786842">
      <w:bodyDiv w:val="1"/>
      <w:marLeft w:val="0"/>
      <w:marRight w:val="0"/>
      <w:marTop w:val="0"/>
      <w:marBottom w:val="0"/>
      <w:divBdr>
        <w:top w:val="none" w:sz="0" w:space="0" w:color="auto"/>
        <w:left w:val="none" w:sz="0" w:space="0" w:color="auto"/>
        <w:bottom w:val="none" w:sz="0" w:space="0" w:color="auto"/>
        <w:right w:val="none" w:sz="0" w:space="0" w:color="auto"/>
      </w:divBdr>
    </w:div>
    <w:div w:id="350689545">
      <w:bodyDiv w:val="1"/>
      <w:marLeft w:val="0"/>
      <w:marRight w:val="0"/>
      <w:marTop w:val="0"/>
      <w:marBottom w:val="0"/>
      <w:divBdr>
        <w:top w:val="none" w:sz="0" w:space="0" w:color="auto"/>
        <w:left w:val="none" w:sz="0" w:space="0" w:color="auto"/>
        <w:bottom w:val="none" w:sz="0" w:space="0" w:color="auto"/>
        <w:right w:val="none" w:sz="0" w:space="0" w:color="auto"/>
      </w:divBdr>
    </w:div>
    <w:div w:id="380902700">
      <w:bodyDiv w:val="1"/>
      <w:marLeft w:val="0"/>
      <w:marRight w:val="0"/>
      <w:marTop w:val="0"/>
      <w:marBottom w:val="0"/>
      <w:divBdr>
        <w:top w:val="none" w:sz="0" w:space="0" w:color="auto"/>
        <w:left w:val="none" w:sz="0" w:space="0" w:color="auto"/>
        <w:bottom w:val="none" w:sz="0" w:space="0" w:color="auto"/>
        <w:right w:val="none" w:sz="0" w:space="0" w:color="auto"/>
      </w:divBdr>
    </w:div>
    <w:div w:id="616134472">
      <w:bodyDiv w:val="1"/>
      <w:marLeft w:val="0"/>
      <w:marRight w:val="0"/>
      <w:marTop w:val="0"/>
      <w:marBottom w:val="0"/>
      <w:divBdr>
        <w:top w:val="none" w:sz="0" w:space="0" w:color="auto"/>
        <w:left w:val="none" w:sz="0" w:space="0" w:color="auto"/>
        <w:bottom w:val="none" w:sz="0" w:space="0" w:color="auto"/>
        <w:right w:val="none" w:sz="0" w:space="0" w:color="auto"/>
      </w:divBdr>
    </w:div>
    <w:div w:id="740367717">
      <w:bodyDiv w:val="1"/>
      <w:marLeft w:val="0"/>
      <w:marRight w:val="0"/>
      <w:marTop w:val="0"/>
      <w:marBottom w:val="0"/>
      <w:divBdr>
        <w:top w:val="none" w:sz="0" w:space="0" w:color="auto"/>
        <w:left w:val="none" w:sz="0" w:space="0" w:color="auto"/>
        <w:bottom w:val="none" w:sz="0" w:space="0" w:color="auto"/>
        <w:right w:val="none" w:sz="0" w:space="0" w:color="auto"/>
      </w:divBdr>
    </w:div>
    <w:div w:id="831607221">
      <w:bodyDiv w:val="1"/>
      <w:marLeft w:val="0"/>
      <w:marRight w:val="0"/>
      <w:marTop w:val="0"/>
      <w:marBottom w:val="0"/>
      <w:divBdr>
        <w:top w:val="none" w:sz="0" w:space="0" w:color="auto"/>
        <w:left w:val="none" w:sz="0" w:space="0" w:color="auto"/>
        <w:bottom w:val="none" w:sz="0" w:space="0" w:color="auto"/>
        <w:right w:val="none" w:sz="0" w:space="0" w:color="auto"/>
      </w:divBdr>
    </w:div>
    <w:div w:id="1001733114">
      <w:bodyDiv w:val="1"/>
      <w:marLeft w:val="0"/>
      <w:marRight w:val="0"/>
      <w:marTop w:val="0"/>
      <w:marBottom w:val="0"/>
      <w:divBdr>
        <w:top w:val="none" w:sz="0" w:space="0" w:color="auto"/>
        <w:left w:val="none" w:sz="0" w:space="0" w:color="auto"/>
        <w:bottom w:val="none" w:sz="0" w:space="0" w:color="auto"/>
        <w:right w:val="none" w:sz="0" w:space="0" w:color="auto"/>
      </w:divBdr>
    </w:div>
    <w:div w:id="1027147420">
      <w:bodyDiv w:val="1"/>
      <w:marLeft w:val="0"/>
      <w:marRight w:val="0"/>
      <w:marTop w:val="0"/>
      <w:marBottom w:val="0"/>
      <w:divBdr>
        <w:top w:val="none" w:sz="0" w:space="0" w:color="auto"/>
        <w:left w:val="none" w:sz="0" w:space="0" w:color="auto"/>
        <w:bottom w:val="none" w:sz="0" w:space="0" w:color="auto"/>
        <w:right w:val="none" w:sz="0" w:space="0" w:color="auto"/>
      </w:divBdr>
    </w:div>
    <w:div w:id="1122647758">
      <w:bodyDiv w:val="1"/>
      <w:marLeft w:val="0"/>
      <w:marRight w:val="0"/>
      <w:marTop w:val="0"/>
      <w:marBottom w:val="0"/>
      <w:divBdr>
        <w:top w:val="none" w:sz="0" w:space="0" w:color="auto"/>
        <w:left w:val="none" w:sz="0" w:space="0" w:color="auto"/>
        <w:bottom w:val="none" w:sz="0" w:space="0" w:color="auto"/>
        <w:right w:val="none" w:sz="0" w:space="0" w:color="auto"/>
      </w:divBdr>
    </w:div>
    <w:div w:id="1141923348">
      <w:bodyDiv w:val="1"/>
      <w:marLeft w:val="0"/>
      <w:marRight w:val="0"/>
      <w:marTop w:val="0"/>
      <w:marBottom w:val="0"/>
      <w:divBdr>
        <w:top w:val="none" w:sz="0" w:space="0" w:color="auto"/>
        <w:left w:val="none" w:sz="0" w:space="0" w:color="auto"/>
        <w:bottom w:val="none" w:sz="0" w:space="0" w:color="auto"/>
        <w:right w:val="none" w:sz="0" w:space="0" w:color="auto"/>
      </w:divBdr>
    </w:div>
    <w:div w:id="1202475737">
      <w:bodyDiv w:val="1"/>
      <w:marLeft w:val="0"/>
      <w:marRight w:val="0"/>
      <w:marTop w:val="0"/>
      <w:marBottom w:val="0"/>
      <w:divBdr>
        <w:top w:val="none" w:sz="0" w:space="0" w:color="auto"/>
        <w:left w:val="none" w:sz="0" w:space="0" w:color="auto"/>
        <w:bottom w:val="none" w:sz="0" w:space="0" w:color="auto"/>
        <w:right w:val="none" w:sz="0" w:space="0" w:color="auto"/>
      </w:divBdr>
    </w:div>
    <w:div w:id="1395156090">
      <w:bodyDiv w:val="1"/>
      <w:marLeft w:val="0"/>
      <w:marRight w:val="0"/>
      <w:marTop w:val="0"/>
      <w:marBottom w:val="0"/>
      <w:divBdr>
        <w:top w:val="none" w:sz="0" w:space="0" w:color="auto"/>
        <w:left w:val="none" w:sz="0" w:space="0" w:color="auto"/>
        <w:bottom w:val="none" w:sz="0" w:space="0" w:color="auto"/>
        <w:right w:val="none" w:sz="0" w:space="0" w:color="auto"/>
      </w:divBdr>
    </w:div>
    <w:div w:id="1414664932">
      <w:bodyDiv w:val="1"/>
      <w:marLeft w:val="0"/>
      <w:marRight w:val="0"/>
      <w:marTop w:val="0"/>
      <w:marBottom w:val="0"/>
      <w:divBdr>
        <w:top w:val="none" w:sz="0" w:space="0" w:color="auto"/>
        <w:left w:val="none" w:sz="0" w:space="0" w:color="auto"/>
        <w:bottom w:val="none" w:sz="0" w:space="0" w:color="auto"/>
        <w:right w:val="none" w:sz="0" w:space="0" w:color="auto"/>
      </w:divBdr>
    </w:div>
    <w:div w:id="16524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Darendeli</dc:creator>
  <cp:keywords/>
  <dc:description/>
  <cp:lastModifiedBy>Ismet Darendeli</cp:lastModifiedBy>
  <cp:revision>1</cp:revision>
  <dcterms:created xsi:type="dcterms:W3CDTF">2022-12-29T11:03:00Z</dcterms:created>
  <dcterms:modified xsi:type="dcterms:W3CDTF">2022-12-29T12:28:00Z</dcterms:modified>
</cp:coreProperties>
</file>