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0606E2" w:rsidRPr="00F9341D" w:rsidTr="006820A2">
        <w:tc>
          <w:tcPr>
            <w:tcW w:w="13056" w:type="dxa"/>
            <w:gridSpan w:val="2"/>
            <w:tcBorders>
              <w:bottom w:val="single" w:sz="4" w:space="0" w:color="auto"/>
            </w:tcBorders>
            <w:shd w:val="clear" w:color="auto" w:fill="1E3C7B"/>
            <w:vAlign w:val="center"/>
            <w:hideMark/>
          </w:tcPr>
          <w:p w:rsidR="00FC7A2D" w:rsidRDefault="00FC7A2D" w:rsidP="00F914F0">
            <w:pPr>
              <w:spacing w:after="0" w:line="240" w:lineRule="auto"/>
              <w:rPr>
                <w:rFonts w:ascii="Calibri" w:eastAsia="Times New Roman" w:hAnsi="Calibri" w:cs="Times New Roman"/>
                <w:b/>
                <w:bCs/>
                <w:color w:val="FFFFFF" w:themeColor="background1"/>
                <w:sz w:val="48"/>
              </w:rPr>
            </w:pPr>
            <w:bookmarkStart w:id="0" w:name="_GoBack"/>
            <w:bookmarkEnd w:id="0"/>
            <w:r>
              <w:rPr>
                <w:rFonts w:ascii="Calibri" w:eastAsia="Times New Roman" w:hAnsi="Calibri" w:cs="Times New Roman"/>
                <w:b/>
                <w:bCs/>
                <w:color w:val="FFFFFF" w:themeColor="background1"/>
                <w:sz w:val="48"/>
              </w:rPr>
              <w:t>London Borough of Lambeth</w:t>
            </w:r>
          </w:p>
          <w:p w:rsidR="000606E2" w:rsidRPr="000606E2" w:rsidRDefault="000606E2" w:rsidP="00F914F0">
            <w:pPr>
              <w:spacing w:after="0" w:line="240" w:lineRule="auto"/>
              <w:rPr>
                <w:rFonts w:ascii="Verdana" w:eastAsia="Times New Roman" w:hAnsi="Verdana" w:cs="Times New Roman"/>
                <w:color w:val="FFFFFF" w:themeColor="background1"/>
                <w:sz w:val="20"/>
                <w:szCs w:val="20"/>
              </w:rPr>
            </w:pPr>
            <w:r>
              <w:rPr>
                <w:rFonts w:ascii="Calibri" w:eastAsia="Times New Roman" w:hAnsi="Calibri" w:cs="Times New Roman"/>
                <w:b/>
                <w:bCs/>
                <w:color w:val="FFFFFF" w:themeColor="background1"/>
                <w:sz w:val="48"/>
              </w:rPr>
              <w:t xml:space="preserve">Initial </w:t>
            </w:r>
            <w:r w:rsidRPr="00F9341D">
              <w:rPr>
                <w:rFonts w:ascii="Calibri" w:eastAsia="Times New Roman" w:hAnsi="Calibri" w:cs="Times New Roman"/>
                <w:b/>
                <w:bCs/>
                <w:color w:val="FFFFFF" w:themeColor="background1"/>
                <w:sz w:val="48"/>
              </w:rPr>
              <w:t>Equality Impact Assessment Report</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color w:val="000000"/>
                <w:sz w:val="24"/>
                <w:szCs w:val="24"/>
              </w:rPr>
            </w:pPr>
            <w:r w:rsidRPr="00F914F0">
              <w:rPr>
                <w:rFonts w:eastAsia="Times New Roman" w:cs="Times New Roman"/>
                <w:color w:val="000000"/>
                <w:sz w:val="24"/>
                <w:szCs w:val="24"/>
              </w:rPr>
              <w:t> </w:t>
            </w:r>
          </w:p>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Date</w:t>
            </w:r>
          </w:p>
          <w:p w:rsidR="00F914F0" w:rsidRPr="00F914F0" w:rsidRDefault="00F914F0" w:rsidP="00F914F0">
            <w:pPr>
              <w:spacing w:after="0" w:line="240" w:lineRule="auto"/>
              <w:rPr>
                <w:rFonts w:eastAsia="Times New Roman" w:cs="Times New Roman"/>
                <w:color w:val="000000"/>
                <w:sz w:val="24"/>
                <w:szCs w:val="24"/>
              </w:rPr>
            </w:pPr>
          </w:p>
        </w:tc>
        <w:tc>
          <w:tcPr>
            <w:tcW w:w="7087" w:type="dxa"/>
            <w:shd w:val="clear" w:color="auto" w:fill="FFFFFF" w:themeFill="background1"/>
          </w:tcPr>
          <w:p w:rsidR="00F914F0" w:rsidRDefault="00F914F0" w:rsidP="00635707">
            <w:pPr>
              <w:spacing w:after="0" w:line="240" w:lineRule="auto"/>
              <w:rPr>
                <w:rFonts w:eastAsia="Times New Roman" w:cs="Times New Roman"/>
                <w:color w:val="000000"/>
                <w:sz w:val="24"/>
                <w:szCs w:val="24"/>
              </w:rPr>
            </w:pPr>
          </w:p>
          <w:p w:rsidR="000B4FA1" w:rsidRPr="00F914F0" w:rsidRDefault="000606E2" w:rsidP="000606E2">
            <w:pPr>
              <w:spacing w:after="0" w:line="240" w:lineRule="auto"/>
              <w:rPr>
                <w:rFonts w:eastAsia="Times New Roman" w:cs="Times New Roman"/>
                <w:color w:val="000000"/>
                <w:sz w:val="24"/>
                <w:szCs w:val="24"/>
              </w:rPr>
            </w:pPr>
            <w:r>
              <w:rPr>
                <w:rFonts w:eastAsia="Times New Roman" w:cs="Times New Roman"/>
                <w:color w:val="000000"/>
                <w:sz w:val="24"/>
                <w:szCs w:val="24"/>
              </w:rPr>
              <w:t>23</w:t>
            </w:r>
            <w:r w:rsidR="000B4FA1">
              <w:rPr>
                <w:rFonts w:eastAsia="Times New Roman" w:cs="Times New Roman"/>
                <w:color w:val="000000"/>
                <w:sz w:val="24"/>
                <w:szCs w:val="24"/>
              </w:rPr>
              <w:t xml:space="preserve"> March 2015</w:t>
            </w:r>
          </w:p>
        </w:tc>
      </w:tr>
      <w:tr w:rsidR="00213191" w:rsidRPr="00F914F0" w:rsidTr="00F202DA">
        <w:tc>
          <w:tcPr>
            <w:tcW w:w="5969" w:type="dxa"/>
            <w:shd w:val="clear" w:color="auto" w:fill="EBF0F9"/>
            <w:hideMark/>
          </w:tcPr>
          <w:p w:rsidR="00213191" w:rsidRPr="00C67CED" w:rsidRDefault="00213191" w:rsidP="00F202DA">
            <w:pPr>
              <w:spacing w:after="0" w:line="240" w:lineRule="auto"/>
              <w:rPr>
                <w:rFonts w:eastAsia="Times New Roman" w:cs="Times New Roman"/>
                <w:b/>
                <w:color w:val="000000"/>
                <w:sz w:val="24"/>
                <w:szCs w:val="24"/>
              </w:rPr>
            </w:pPr>
            <w:r w:rsidRPr="00C67CED">
              <w:rPr>
                <w:rFonts w:eastAsia="Times New Roman" w:cs="Times New Roman"/>
                <w:b/>
                <w:color w:val="000000"/>
                <w:sz w:val="24"/>
                <w:szCs w:val="24"/>
              </w:rPr>
              <w:t>Sign</w:t>
            </w:r>
            <w:r>
              <w:rPr>
                <w:rFonts w:eastAsia="Times New Roman" w:cs="Times New Roman"/>
                <w:b/>
                <w:color w:val="000000"/>
                <w:sz w:val="24"/>
                <w:szCs w:val="24"/>
              </w:rPr>
              <w:t xml:space="preserve">-off path for EIA </w:t>
            </w:r>
            <w:r w:rsidRPr="00C67CED">
              <w:rPr>
                <w:rFonts w:eastAsia="Times New Roman" w:cs="Times New Roman"/>
                <w:color w:val="000000"/>
                <w:sz w:val="24"/>
                <w:szCs w:val="24"/>
              </w:rPr>
              <w:t xml:space="preserve">(please </w:t>
            </w:r>
            <w:r>
              <w:rPr>
                <w:rFonts w:eastAsia="Times New Roman" w:cs="Times New Roman"/>
                <w:color w:val="000000"/>
                <w:sz w:val="24"/>
                <w:szCs w:val="24"/>
              </w:rPr>
              <w:t>add/delete as applicable</w:t>
            </w:r>
            <w:r w:rsidRPr="00C67CED">
              <w:rPr>
                <w:rFonts w:eastAsia="Times New Roman" w:cs="Times New Roman"/>
                <w:color w:val="000000"/>
                <w:sz w:val="24"/>
                <w:szCs w:val="24"/>
              </w:rPr>
              <w:t>)</w:t>
            </w:r>
          </w:p>
        </w:tc>
        <w:tc>
          <w:tcPr>
            <w:tcW w:w="7087" w:type="dxa"/>
            <w:shd w:val="clear" w:color="auto" w:fill="FFFFFF" w:themeFill="background1"/>
          </w:tcPr>
          <w:p w:rsidR="00213191" w:rsidRPr="000B4FA1" w:rsidRDefault="00213191" w:rsidP="00F202DA">
            <w:pPr>
              <w:spacing w:after="0" w:line="240" w:lineRule="auto"/>
              <w:rPr>
                <w:rFonts w:eastAsia="Times New Roman" w:cs="Times New Roman"/>
                <w:color w:val="000000"/>
                <w:sz w:val="24"/>
                <w:szCs w:val="24"/>
              </w:rPr>
            </w:pPr>
            <w:r w:rsidRPr="000B4FA1">
              <w:rPr>
                <w:rFonts w:eastAsia="Times New Roman" w:cs="Times New Roman"/>
                <w:color w:val="000000"/>
                <w:sz w:val="24"/>
                <w:szCs w:val="24"/>
              </w:rPr>
              <w:t xml:space="preserve">Corporate EIA Panel </w:t>
            </w:r>
          </w:p>
          <w:p w:rsidR="000B4FA1" w:rsidRPr="000B4FA1" w:rsidRDefault="000B4FA1" w:rsidP="00F202DA">
            <w:pPr>
              <w:spacing w:after="0" w:line="240" w:lineRule="auto"/>
              <w:rPr>
                <w:rFonts w:eastAsia="Times New Roman" w:cs="Times New Roman"/>
                <w:color w:val="000000"/>
                <w:sz w:val="24"/>
                <w:szCs w:val="24"/>
              </w:rPr>
            </w:pP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Title of Project, business area, policy/strategy</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0B4FA1" w:rsidRDefault="000B4FA1" w:rsidP="00635707">
            <w:pPr>
              <w:spacing w:after="0" w:line="240" w:lineRule="auto"/>
              <w:rPr>
                <w:rFonts w:eastAsia="Times New Roman" w:cs="Times New Roman"/>
                <w:color w:val="000000"/>
                <w:sz w:val="24"/>
                <w:szCs w:val="24"/>
              </w:rPr>
            </w:pPr>
            <w:r w:rsidRPr="000B4FA1">
              <w:rPr>
                <w:rFonts w:eastAsia="Times New Roman" w:cs="Times New Roman"/>
                <w:color w:val="000000"/>
                <w:sz w:val="24"/>
                <w:szCs w:val="24"/>
              </w:rPr>
              <w:t>Revisions to the council’s Income and Debt Recovery Strategy</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Author</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0B4FA1" w:rsidRDefault="001A1633" w:rsidP="00635707">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David McCollum </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Job title, division and department</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0B4FA1" w:rsidRDefault="001473AB" w:rsidP="001A1633">
            <w:pPr>
              <w:spacing w:after="0" w:line="240" w:lineRule="auto"/>
              <w:rPr>
                <w:rFonts w:eastAsia="Times New Roman" w:cs="Times New Roman"/>
                <w:color w:val="000000"/>
                <w:sz w:val="24"/>
                <w:szCs w:val="24"/>
              </w:rPr>
            </w:pPr>
            <w:r>
              <w:rPr>
                <w:rFonts w:eastAsia="Times New Roman" w:cs="Times New Roman"/>
                <w:color w:val="000000"/>
                <w:sz w:val="24"/>
                <w:szCs w:val="24"/>
              </w:rPr>
              <w:t>Commissioning Office</w:t>
            </w:r>
            <w:r w:rsidR="000B4FA1">
              <w:rPr>
                <w:rFonts w:eastAsia="Times New Roman" w:cs="Times New Roman"/>
                <w:color w:val="000000"/>
                <w:sz w:val="24"/>
                <w:szCs w:val="24"/>
              </w:rPr>
              <w:t xml:space="preserve">r, Financial Resilience </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Contact email and telephone</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0B4FA1" w:rsidRDefault="005B4D8B" w:rsidP="00635707">
            <w:pPr>
              <w:spacing w:after="0" w:line="240" w:lineRule="auto"/>
              <w:rPr>
                <w:rFonts w:eastAsia="Times New Roman" w:cs="Times New Roman"/>
                <w:color w:val="000000"/>
                <w:sz w:val="24"/>
                <w:szCs w:val="24"/>
              </w:rPr>
            </w:pPr>
            <w:hyperlink r:id="rId13" w:history="1">
              <w:r w:rsidR="001A1633" w:rsidRPr="00127092">
                <w:rPr>
                  <w:rStyle w:val="Hyperlink"/>
                </w:rPr>
                <w:t>Dmccollum1@lambeth.gov.uk</w:t>
              </w:r>
            </w:hyperlink>
            <w:r w:rsidR="001A1633">
              <w:t xml:space="preserve"> 0207 926 7004 </w:t>
            </w:r>
          </w:p>
        </w:tc>
      </w:tr>
      <w:tr w:rsidR="00F914F0" w:rsidRPr="00F914F0" w:rsidTr="00F9341D">
        <w:tc>
          <w:tcPr>
            <w:tcW w:w="5969" w:type="dxa"/>
            <w:shd w:val="clear" w:color="auto" w:fill="EBF0F9"/>
            <w:hideMark/>
          </w:tcPr>
          <w:p w:rsidR="00F914F0" w:rsidRPr="00F914F0" w:rsidRDefault="00A35AC9"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Strategic Director Sponsor</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0B4FA1" w:rsidRDefault="000B4FA1" w:rsidP="00635707">
            <w:pPr>
              <w:spacing w:after="0" w:line="240" w:lineRule="auto"/>
              <w:rPr>
                <w:rFonts w:eastAsia="Times New Roman" w:cs="Times New Roman"/>
                <w:color w:val="000000"/>
                <w:sz w:val="24"/>
                <w:szCs w:val="24"/>
              </w:rPr>
            </w:pPr>
            <w:r>
              <w:rPr>
                <w:rFonts w:eastAsia="Times New Roman" w:cs="Times New Roman"/>
                <w:color w:val="000000"/>
                <w:sz w:val="24"/>
                <w:szCs w:val="24"/>
              </w:rPr>
              <w:t>Guy Ware/Helen Charlesworth-May</w:t>
            </w:r>
          </w:p>
        </w:tc>
      </w:tr>
    </w:tbl>
    <w:p w:rsidR="00504987" w:rsidRDefault="0050498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0606E2" w:rsidRDefault="000606E2">
      <w:pPr>
        <w:rPr>
          <w:rFonts w:ascii="Arial" w:hAnsi="Arial" w:cs="Arial"/>
          <w:sz w:val="21"/>
          <w:szCs w:val="21"/>
        </w:rPr>
      </w:pPr>
    </w:p>
    <w:p w:rsidR="000B4FA1" w:rsidRDefault="000B4FA1">
      <w:pPr>
        <w:rPr>
          <w:rFonts w:ascii="Arial" w:hAnsi="Arial" w:cs="Arial"/>
          <w:sz w:val="21"/>
          <w:szCs w:val="21"/>
        </w:rPr>
      </w:pPr>
    </w:p>
    <w:p w:rsidR="000B4FA1" w:rsidRDefault="000B4FA1">
      <w:pPr>
        <w:rPr>
          <w:rFonts w:ascii="Arial" w:hAnsi="Arial" w:cs="Arial"/>
          <w:sz w:val="21"/>
          <w:szCs w:val="21"/>
        </w:rPr>
      </w:pPr>
    </w:p>
    <w:p w:rsidR="00635707" w:rsidRDefault="00635707">
      <w:pPr>
        <w:rPr>
          <w:rFonts w:ascii="Arial" w:hAnsi="Arial" w:cs="Arial"/>
          <w:sz w:val="21"/>
          <w:szCs w:val="21"/>
        </w:rPr>
      </w:pPr>
    </w:p>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50"/>
        <w:gridCol w:w="284"/>
        <w:gridCol w:w="850"/>
        <w:gridCol w:w="9072"/>
      </w:tblGrid>
      <w:tr w:rsidR="000B4FA1" w:rsidRPr="00F9341D" w:rsidTr="00C43BB0">
        <w:tc>
          <w:tcPr>
            <w:tcW w:w="13056" w:type="dxa"/>
            <w:gridSpan w:val="4"/>
            <w:shd w:val="clear" w:color="auto" w:fill="1E3C7B"/>
            <w:vAlign w:val="center"/>
            <w:hideMark/>
          </w:tcPr>
          <w:p w:rsidR="000B4FA1" w:rsidRPr="00F9341D" w:rsidRDefault="000B4FA1" w:rsidP="00635707">
            <w:pPr>
              <w:spacing w:after="0"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lastRenderedPageBreak/>
              <w:t xml:space="preserve">London Borough of Lambeth </w:t>
            </w:r>
          </w:p>
          <w:p w:rsidR="000B4FA1" w:rsidRPr="000B4FA1" w:rsidRDefault="00FC7A2D" w:rsidP="00635707">
            <w:pPr>
              <w:spacing w:after="0" w:line="240" w:lineRule="auto"/>
              <w:rPr>
                <w:rFonts w:ascii="Verdana" w:eastAsia="Times New Roman" w:hAnsi="Verdana" w:cs="Times New Roman"/>
                <w:color w:val="FFFFFF" w:themeColor="background1"/>
                <w:sz w:val="20"/>
                <w:szCs w:val="20"/>
              </w:rPr>
            </w:pPr>
            <w:r>
              <w:rPr>
                <w:rFonts w:ascii="Calibri" w:eastAsia="Times New Roman" w:hAnsi="Calibri" w:cs="Times New Roman"/>
                <w:b/>
                <w:bCs/>
                <w:color w:val="FFFFFF" w:themeColor="background1"/>
                <w:sz w:val="48"/>
              </w:rPr>
              <w:t xml:space="preserve">Initial </w:t>
            </w:r>
            <w:r w:rsidR="000B4FA1" w:rsidRPr="00F9341D">
              <w:rPr>
                <w:rFonts w:ascii="Calibri" w:eastAsia="Times New Roman" w:hAnsi="Calibri" w:cs="Times New Roman"/>
                <w:b/>
                <w:bCs/>
                <w:color w:val="FFFFFF" w:themeColor="background1"/>
                <w:sz w:val="48"/>
              </w:rPr>
              <w:t>Equality Impact Assessment Report</w:t>
            </w:r>
          </w:p>
        </w:tc>
      </w:tr>
      <w:tr w:rsidR="00CA4C75" w:rsidRPr="00431911" w:rsidTr="00C43BB0">
        <w:tc>
          <w:tcPr>
            <w:tcW w:w="13056" w:type="dxa"/>
            <w:gridSpan w:val="4"/>
            <w:shd w:val="clear" w:color="auto" w:fill="517DBF"/>
            <w:hideMark/>
          </w:tcPr>
          <w:p w:rsidR="00CA4C75" w:rsidRPr="00431911" w:rsidRDefault="00CA4C75" w:rsidP="00635707">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1.0 Introduction</w:t>
            </w:r>
          </w:p>
        </w:tc>
      </w:tr>
      <w:tr w:rsidR="00046DB3" w:rsidRPr="00635707" w:rsidTr="008F0BDD">
        <w:tc>
          <w:tcPr>
            <w:tcW w:w="2850" w:type="dxa"/>
            <w:shd w:val="clear" w:color="auto" w:fill="EBF0F9"/>
            <w:hideMark/>
          </w:tcPr>
          <w:p w:rsidR="00046DB3" w:rsidRPr="00635707" w:rsidRDefault="00046DB3"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1.1 Business activity aims and intentions</w:t>
            </w:r>
          </w:p>
          <w:p w:rsidR="00046DB3" w:rsidRPr="00635707" w:rsidRDefault="00046DB3" w:rsidP="00A35AC9">
            <w:pPr>
              <w:spacing w:after="0" w:line="240" w:lineRule="auto"/>
              <w:rPr>
                <w:rFonts w:ascii="Verdana" w:eastAsia="Times New Roman" w:hAnsi="Verdana" w:cs="Times New Roman"/>
                <w:color w:val="000000"/>
                <w:sz w:val="20"/>
                <w:szCs w:val="20"/>
              </w:rPr>
            </w:pPr>
          </w:p>
        </w:tc>
        <w:tc>
          <w:tcPr>
            <w:tcW w:w="10206" w:type="dxa"/>
            <w:gridSpan w:val="3"/>
            <w:shd w:val="clear" w:color="auto" w:fill="auto"/>
          </w:tcPr>
          <w:p w:rsidR="00046DB3" w:rsidRDefault="000B4FA1" w:rsidP="00635707">
            <w:pPr>
              <w:spacing w:after="0" w:line="240" w:lineRule="auto"/>
              <w:rPr>
                <w:rFonts w:eastAsia="Times New Roman" w:cs="Times New Roman"/>
                <w:color w:val="000000"/>
                <w:sz w:val="24"/>
                <w:szCs w:val="24"/>
              </w:rPr>
            </w:pPr>
            <w:r>
              <w:rPr>
                <w:rFonts w:eastAsia="Times New Roman" w:cs="Arial"/>
                <w:color w:val="000000"/>
                <w:sz w:val="24"/>
                <w:szCs w:val="24"/>
              </w:rPr>
              <w:t>The council has reviewed and revised its corporate Income and Debt Recovery Strategy and a new strategy is being presented to Cabinet for sign off in April 2015. This strategy sets out how the council will manage income collection and debt recovery and commits the council to key principles/activity around preventing and tackling debt and maximising income with a particular focus on vulnerable debtors. The strategy has strong links with the council’s Financial Resilience Strategy with much of the review being informed by scoping and co-production work undertaken through the financial resilience work stream. The strategy contributes strongly to the Corporate Plan outcome around improving financial security.</w:t>
            </w:r>
            <w:r w:rsidR="00046DB3" w:rsidRPr="000808CE">
              <w:rPr>
                <w:rFonts w:eastAsia="Times New Roman" w:cs="Times New Roman"/>
                <w:color w:val="000000"/>
                <w:sz w:val="24"/>
                <w:szCs w:val="24"/>
              </w:rPr>
              <w:t> </w:t>
            </w:r>
            <w:r w:rsidR="000606E2">
              <w:rPr>
                <w:rFonts w:eastAsia="Times New Roman" w:cs="Times New Roman"/>
                <w:color w:val="000000"/>
                <w:sz w:val="24"/>
                <w:szCs w:val="24"/>
              </w:rPr>
              <w:t>The income collected by the council pays for core services so balancing the need to maximise collection</w:t>
            </w:r>
            <w:r w:rsidR="008F0BDD">
              <w:rPr>
                <w:rFonts w:eastAsia="Times New Roman" w:cs="Times New Roman"/>
                <w:color w:val="000000"/>
                <w:sz w:val="24"/>
                <w:szCs w:val="24"/>
              </w:rPr>
              <w:t xml:space="preserve">/enforce </w:t>
            </w:r>
            <w:r w:rsidR="000606E2">
              <w:rPr>
                <w:rFonts w:eastAsia="Times New Roman" w:cs="Times New Roman"/>
                <w:color w:val="000000"/>
                <w:sz w:val="24"/>
                <w:szCs w:val="24"/>
              </w:rPr>
              <w:t>debt</w:t>
            </w:r>
            <w:r w:rsidR="008F0BDD">
              <w:rPr>
                <w:rFonts w:eastAsia="Times New Roman" w:cs="Times New Roman"/>
                <w:color w:val="000000"/>
                <w:sz w:val="24"/>
                <w:szCs w:val="24"/>
              </w:rPr>
              <w:t xml:space="preserve"> and </w:t>
            </w:r>
            <w:r w:rsidR="000606E2">
              <w:rPr>
                <w:rFonts w:eastAsia="Times New Roman" w:cs="Times New Roman"/>
                <w:color w:val="000000"/>
                <w:sz w:val="24"/>
                <w:szCs w:val="24"/>
              </w:rPr>
              <w:t>support those who genuinely cannot pay is critical.</w:t>
            </w:r>
          </w:p>
          <w:p w:rsidR="000606E2" w:rsidRDefault="000606E2" w:rsidP="00635707">
            <w:pPr>
              <w:spacing w:after="0" w:line="240" w:lineRule="auto"/>
              <w:rPr>
                <w:rFonts w:eastAsia="Times New Roman" w:cs="Times New Roman"/>
                <w:color w:val="000000"/>
                <w:sz w:val="24"/>
                <w:szCs w:val="24"/>
              </w:rPr>
            </w:pPr>
          </w:p>
          <w:p w:rsidR="000606E2" w:rsidRDefault="000606E2" w:rsidP="00635707">
            <w:pPr>
              <w:spacing w:after="0" w:line="240" w:lineRule="auto"/>
              <w:rPr>
                <w:rFonts w:eastAsia="Times New Roman" w:cs="Times New Roman"/>
                <w:color w:val="000000"/>
                <w:sz w:val="24"/>
                <w:szCs w:val="24"/>
              </w:rPr>
            </w:pPr>
            <w:r>
              <w:rPr>
                <w:rFonts w:eastAsia="Times New Roman" w:cs="Times New Roman"/>
                <w:color w:val="000000"/>
                <w:sz w:val="24"/>
                <w:szCs w:val="24"/>
              </w:rPr>
              <w:t>The key changes within the new version of the strategy are as follows:</w:t>
            </w:r>
          </w:p>
          <w:p w:rsidR="005F3C9A" w:rsidRDefault="00743AFC"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 xml:space="preserve">We guarantee that when enforcing any Council Tax debt we will not send residents from our Income and Debt Strategy </w:t>
            </w:r>
            <w:r w:rsidR="005F3C9A">
              <w:rPr>
                <w:rFonts w:eastAsia="Times New Roman" w:cs="Arial"/>
                <w:color w:val="000000"/>
                <w:sz w:val="24"/>
                <w:szCs w:val="24"/>
              </w:rPr>
              <w:t>Protected G</w:t>
            </w:r>
            <w:r>
              <w:rPr>
                <w:rFonts w:eastAsia="Times New Roman" w:cs="Arial"/>
                <w:color w:val="000000"/>
                <w:sz w:val="24"/>
                <w:szCs w:val="24"/>
              </w:rPr>
              <w:t>roups for bailiff action. Our Income and Debt Strategy protected group includes</w:t>
            </w:r>
            <w:r w:rsidR="005F3C9A">
              <w:rPr>
                <w:rFonts w:eastAsia="Times New Roman" w:cs="Arial"/>
                <w:color w:val="000000"/>
                <w:sz w:val="24"/>
                <w:szCs w:val="24"/>
              </w:rPr>
              <w:t xml:space="preserve"> -</w:t>
            </w:r>
            <w:r>
              <w:rPr>
                <w:rFonts w:eastAsia="Times New Roman" w:cs="Arial"/>
                <w:color w:val="000000"/>
                <w:sz w:val="24"/>
                <w:szCs w:val="24"/>
              </w:rPr>
              <w:t xml:space="preserve"> carers, those affected by the benefit cap, war widow[er]s, disabled people, pensioners, those affected by the bedroom tax, those receiving DHP and those receiving local welfare assistance</w:t>
            </w:r>
            <w:r w:rsidR="00C43BB0">
              <w:rPr>
                <w:rFonts w:eastAsia="Times New Roman" w:cs="Arial"/>
                <w:color w:val="000000"/>
                <w:sz w:val="24"/>
                <w:szCs w:val="24"/>
              </w:rPr>
              <w:t xml:space="preserve">. </w:t>
            </w:r>
          </w:p>
          <w:p w:rsidR="000606E2" w:rsidRDefault="00C43BB0"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Bailiffs will be considered as a last resort for all other CTS recipients once all other enforcement and support options have been considered/attempted.</w:t>
            </w:r>
          </w:p>
          <w:p w:rsidR="000606E2" w:rsidRDefault="000606E2"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A commitment to reach out to those receiving a court summons for council tax debt at or before Final Notice stage and make a pro-active offer of debt support, with the summons (and any associated charges) cancelled if that debt support is taken up</w:t>
            </w:r>
          </w:p>
          <w:p w:rsidR="000606E2" w:rsidRDefault="000606E2"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Ensuring that vulnerable debtors are flagged on the system so that enforcement action can be tailored accordingly and support offered where appropriate</w:t>
            </w:r>
            <w:r w:rsidR="00743AFC">
              <w:rPr>
                <w:rFonts w:eastAsia="Times New Roman" w:cs="Arial"/>
                <w:color w:val="000000"/>
                <w:sz w:val="24"/>
                <w:szCs w:val="24"/>
              </w:rPr>
              <w:t>. A definition of vulnerability is included in appendix E</w:t>
            </w:r>
            <w:r w:rsidR="005F3C9A">
              <w:rPr>
                <w:rFonts w:eastAsia="Times New Roman" w:cs="Arial"/>
                <w:color w:val="000000"/>
                <w:sz w:val="24"/>
                <w:szCs w:val="24"/>
              </w:rPr>
              <w:t xml:space="preserve"> of the Income and Debt M</w:t>
            </w:r>
            <w:r w:rsidR="00743AFC">
              <w:rPr>
                <w:rFonts w:eastAsia="Times New Roman" w:cs="Arial"/>
                <w:color w:val="000000"/>
                <w:sz w:val="24"/>
                <w:szCs w:val="24"/>
              </w:rPr>
              <w:t xml:space="preserve">anual. </w:t>
            </w:r>
          </w:p>
          <w:p w:rsidR="000606E2" w:rsidRDefault="000606E2"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Establishment of a local debt forum</w:t>
            </w:r>
            <w:r w:rsidR="00743AFC">
              <w:rPr>
                <w:rFonts w:eastAsia="Times New Roman" w:cs="Arial"/>
                <w:color w:val="000000"/>
                <w:sz w:val="24"/>
                <w:szCs w:val="24"/>
              </w:rPr>
              <w:t xml:space="preserve"> of relevant agencies and interested citizens and businesses</w:t>
            </w:r>
            <w:r>
              <w:rPr>
                <w:rFonts w:eastAsia="Times New Roman" w:cs="Arial"/>
                <w:color w:val="000000"/>
                <w:sz w:val="24"/>
                <w:szCs w:val="24"/>
              </w:rPr>
              <w:t xml:space="preserve"> to keep the strategy and related activity under review</w:t>
            </w:r>
          </w:p>
          <w:p w:rsidR="000606E2" w:rsidRDefault="000606E2"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 xml:space="preserve">More flexible payment methods and </w:t>
            </w:r>
            <w:r w:rsidR="00C43BB0">
              <w:rPr>
                <w:rFonts w:eastAsia="Times New Roman" w:cs="Arial"/>
                <w:color w:val="000000"/>
                <w:sz w:val="24"/>
                <w:szCs w:val="24"/>
              </w:rPr>
              <w:t>more options/</w:t>
            </w:r>
            <w:r>
              <w:rPr>
                <w:rFonts w:eastAsia="Times New Roman" w:cs="Arial"/>
                <w:color w:val="000000"/>
                <w:sz w:val="24"/>
                <w:szCs w:val="24"/>
              </w:rPr>
              <w:t xml:space="preserve">encouragement to pay in advance </w:t>
            </w:r>
          </w:p>
          <w:p w:rsidR="000606E2" w:rsidRDefault="000606E2" w:rsidP="000606E2">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lastRenderedPageBreak/>
              <w:t>Clearer letters and bills and online billing and payments achieved through mylambeth</w:t>
            </w:r>
          </w:p>
          <w:p w:rsidR="001A116E" w:rsidRDefault="000606E2" w:rsidP="00C43BB0">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All bills and arrears statements to include details of how to get advice through the CAB</w:t>
            </w:r>
          </w:p>
          <w:p w:rsidR="001A116E" w:rsidRDefault="00D70BB3" w:rsidP="00C43BB0">
            <w:pPr>
              <w:pStyle w:val="ListParagraph"/>
              <w:numPr>
                <w:ilvl w:val="0"/>
                <w:numId w:val="2"/>
              </w:numPr>
              <w:spacing w:after="0" w:line="240" w:lineRule="auto"/>
              <w:rPr>
                <w:rFonts w:eastAsia="Times New Roman" w:cs="Arial"/>
                <w:color w:val="000000"/>
                <w:sz w:val="24"/>
                <w:szCs w:val="24"/>
              </w:rPr>
            </w:pPr>
            <w:r w:rsidRPr="001A116E">
              <w:rPr>
                <w:rFonts w:eastAsia="Times New Roman" w:cs="Arial"/>
                <w:color w:val="000000"/>
                <w:sz w:val="24"/>
                <w:szCs w:val="24"/>
              </w:rPr>
              <w:t xml:space="preserve">Pre eviction panels for LL tenants in rent arrears who are in the Income and Debt Strategy Protected Groups category. </w:t>
            </w:r>
            <w:r w:rsidR="006D76A8" w:rsidRPr="001A116E">
              <w:rPr>
                <w:rFonts w:eastAsia="Times New Roman" w:cs="Arial"/>
                <w:color w:val="000000"/>
                <w:sz w:val="24"/>
                <w:szCs w:val="24"/>
              </w:rPr>
              <w:t>The panel will ensure that a</w:t>
            </w:r>
            <w:r w:rsidRPr="001A116E">
              <w:rPr>
                <w:rFonts w:eastAsia="Times New Roman" w:cs="Arial"/>
                <w:color w:val="000000"/>
                <w:sz w:val="24"/>
                <w:szCs w:val="24"/>
              </w:rPr>
              <w:t>ll efforts</w:t>
            </w:r>
            <w:r w:rsidR="006D76A8" w:rsidRPr="001A116E">
              <w:rPr>
                <w:rFonts w:eastAsia="Times New Roman" w:cs="Arial"/>
                <w:color w:val="000000"/>
                <w:sz w:val="24"/>
                <w:szCs w:val="24"/>
              </w:rPr>
              <w:t xml:space="preserve"> have</w:t>
            </w:r>
            <w:r w:rsidRPr="001A116E">
              <w:rPr>
                <w:rFonts w:eastAsia="Times New Roman" w:cs="Arial"/>
                <w:color w:val="000000"/>
                <w:sz w:val="24"/>
                <w:szCs w:val="24"/>
              </w:rPr>
              <w:t xml:space="preserve"> be</w:t>
            </w:r>
            <w:r w:rsidR="006D76A8" w:rsidRPr="001A116E">
              <w:rPr>
                <w:rFonts w:eastAsia="Times New Roman" w:cs="Arial"/>
                <w:color w:val="000000"/>
                <w:sz w:val="24"/>
                <w:szCs w:val="24"/>
              </w:rPr>
              <w:t>en</w:t>
            </w:r>
            <w:r w:rsidRPr="001A116E">
              <w:rPr>
                <w:rFonts w:eastAsia="Times New Roman" w:cs="Arial"/>
                <w:color w:val="000000"/>
                <w:sz w:val="24"/>
                <w:szCs w:val="24"/>
              </w:rPr>
              <w:t xml:space="preserve"> made to support the </w:t>
            </w:r>
            <w:r w:rsidR="006D76A8" w:rsidRPr="001A116E">
              <w:rPr>
                <w:rFonts w:eastAsia="Times New Roman" w:cs="Arial"/>
                <w:color w:val="000000"/>
                <w:sz w:val="24"/>
                <w:szCs w:val="24"/>
              </w:rPr>
              <w:t>resident in their tenancy to ensure that eviction is only ever a final  resort</w:t>
            </w:r>
            <w:r w:rsidRPr="001A116E">
              <w:rPr>
                <w:rFonts w:eastAsia="Times New Roman" w:cs="Arial"/>
                <w:color w:val="000000"/>
                <w:sz w:val="24"/>
                <w:szCs w:val="24"/>
              </w:rPr>
              <w:t>.</w:t>
            </w:r>
          </w:p>
          <w:p w:rsidR="001A116E" w:rsidRDefault="001A116E" w:rsidP="001A116E">
            <w:pPr>
              <w:spacing w:after="0" w:line="240" w:lineRule="auto"/>
              <w:rPr>
                <w:rFonts w:eastAsia="Times New Roman" w:cs="Arial"/>
                <w:color w:val="000000"/>
                <w:sz w:val="24"/>
                <w:szCs w:val="24"/>
              </w:rPr>
            </w:pPr>
          </w:p>
          <w:p w:rsidR="00C43BB0" w:rsidRPr="001A116E" w:rsidRDefault="00C43BB0" w:rsidP="001A116E">
            <w:pPr>
              <w:spacing w:after="0" w:line="240" w:lineRule="auto"/>
              <w:rPr>
                <w:rFonts w:eastAsia="Times New Roman" w:cs="Arial"/>
                <w:color w:val="000000"/>
                <w:sz w:val="24"/>
                <w:szCs w:val="24"/>
              </w:rPr>
            </w:pPr>
            <w:r w:rsidRPr="001A116E">
              <w:rPr>
                <w:rFonts w:eastAsia="Times New Roman" w:cs="Arial"/>
                <w:color w:val="000000"/>
                <w:sz w:val="24"/>
                <w:szCs w:val="24"/>
              </w:rPr>
              <w:t>The data available to inform this impact assessment is limited. The information collected by Lambeth Living in respect of rent arrears is limited in equalities terms and provides only a partial picture. The information collected in respect of leaseholder charges and debts and parking debts is similarly incomplete and the data recorded by Revenues and Benefits and Capita in respect of council tax debt and overpayments also does not allow a full equality impact to be undertaken. This EIA should therefore be considered an initial and first stage impact assessment.</w:t>
            </w:r>
          </w:p>
          <w:p w:rsidR="00C43BB0" w:rsidRDefault="00C43BB0" w:rsidP="00C43BB0">
            <w:pPr>
              <w:spacing w:after="0" w:line="240" w:lineRule="auto"/>
              <w:rPr>
                <w:rFonts w:eastAsia="Times New Roman" w:cs="Arial"/>
                <w:color w:val="000000"/>
                <w:sz w:val="24"/>
                <w:szCs w:val="24"/>
              </w:rPr>
            </w:pPr>
          </w:p>
          <w:p w:rsidR="00C43BB0" w:rsidRDefault="00C43BB0" w:rsidP="00C43BB0">
            <w:pPr>
              <w:spacing w:after="0" w:line="240" w:lineRule="auto"/>
              <w:rPr>
                <w:rFonts w:eastAsia="Times New Roman" w:cs="Arial"/>
                <w:color w:val="000000"/>
                <w:sz w:val="24"/>
                <w:szCs w:val="24"/>
              </w:rPr>
            </w:pPr>
            <w:r>
              <w:rPr>
                <w:rFonts w:eastAsia="Times New Roman" w:cs="Arial"/>
                <w:color w:val="000000"/>
                <w:sz w:val="24"/>
                <w:szCs w:val="24"/>
              </w:rPr>
              <w:t>The work set out in the strategy about joining up and improving data systems and providing for a more systematic recording of vulnerability should improve things and allow a more complete picture to develop over time. Though, of course, much of the debt that households owe – which impacts on their ability to meet their obligations to the council – does not originate with us as it relates to utilities, store card, payday loans, mortgage, loan, overdraft and other forms of debt which we do not have access to information about.</w:t>
            </w:r>
          </w:p>
          <w:p w:rsidR="00C43BB0" w:rsidRDefault="00C43BB0" w:rsidP="00C43BB0">
            <w:pPr>
              <w:spacing w:after="0" w:line="240" w:lineRule="auto"/>
              <w:rPr>
                <w:rFonts w:eastAsia="Times New Roman" w:cs="Arial"/>
                <w:color w:val="000000"/>
                <w:sz w:val="24"/>
                <w:szCs w:val="24"/>
              </w:rPr>
            </w:pPr>
          </w:p>
          <w:p w:rsidR="00C43BB0" w:rsidRDefault="00C43BB0" w:rsidP="00C43BB0">
            <w:pPr>
              <w:spacing w:after="0" w:line="240" w:lineRule="auto"/>
              <w:rPr>
                <w:rFonts w:eastAsia="Times New Roman" w:cs="Arial"/>
                <w:color w:val="000000"/>
                <w:sz w:val="24"/>
                <w:szCs w:val="24"/>
              </w:rPr>
            </w:pPr>
            <w:r>
              <w:rPr>
                <w:rFonts w:eastAsia="Times New Roman" w:cs="Arial"/>
                <w:color w:val="000000"/>
                <w:sz w:val="24"/>
                <w:szCs w:val="24"/>
              </w:rPr>
              <w:t>National reports have been considered as part of this assessment including:</w:t>
            </w:r>
          </w:p>
          <w:p w:rsidR="00C43BB0" w:rsidRDefault="00C43BB0" w:rsidP="00C43BB0">
            <w:pPr>
              <w:pStyle w:val="ListParagraph"/>
              <w:numPr>
                <w:ilvl w:val="0"/>
                <w:numId w:val="3"/>
              </w:numPr>
              <w:spacing w:after="0" w:line="240" w:lineRule="auto"/>
              <w:rPr>
                <w:rFonts w:eastAsia="Times New Roman" w:cs="Arial"/>
                <w:color w:val="000000"/>
                <w:sz w:val="24"/>
                <w:szCs w:val="24"/>
              </w:rPr>
            </w:pPr>
            <w:r w:rsidRPr="00C43BB0">
              <w:rPr>
                <w:rFonts w:eastAsia="Times New Roman" w:cs="Arial"/>
                <w:color w:val="000000"/>
                <w:sz w:val="24"/>
                <w:szCs w:val="24"/>
              </w:rPr>
              <w:t xml:space="preserve">London in the Red, </w:t>
            </w:r>
            <w:r>
              <w:rPr>
                <w:rFonts w:eastAsia="Times New Roman" w:cs="Arial"/>
                <w:color w:val="000000"/>
                <w:sz w:val="24"/>
                <w:szCs w:val="24"/>
              </w:rPr>
              <w:t>Step Change Debt Charity, May 2012</w:t>
            </w:r>
          </w:p>
          <w:p w:rsidR="00F8665D" w:rsidRDefault="00F8665D" w:rsidP="00C43BB0">
            <w:pPr>
              <w:pStyle w:val="ListParagraph"/>
              <w:numPr>
                <w:ilvl w:val="0"/>
                <w:numId w:val="3"/>
              </w:numPr>
              <w:spacing w:after="0" w:line="240" w:lineRule="auto"/>
              <w:rPr>
                <w:rFonts w:eastAsia="Times New Roman" w:cs="Arial"/>
                <w:color w:val="000000"/>
                <w:sz w:val="24"/>
                <w:szCs w:val="24"/>
              </w:rPr>
            </w:pPr>
            <w:r>
              <w:rPr>
                <w:rFonts w:eastAsia="Times New Roman" w:cs="Arial"/>
                <w:color w:val="000000"/>
                <w:sz w:val="24"/>
                <w:szCs w:val="24"/>
              </w:rPr>
              <w:t>Changing Household Budgets, Money Advice Service, June 2014</w:t>
            </w:r>
          </w:p>
          <w:p w:rsidR="00F8665D" w:rsidRDefault="00F8665D" w:rsidP="00C43BB0">
            <w:pPr>
              <w:pStyle w:val="ListParagraph"/>
              <w:numPr>
                <w:ilvl w:val="0"/>
                <w:numId w:val="3"/>
              </w:numPr>
              <w:spacing w:after="0" w:line="240" w:lineRule="auto"/>
              <w:rPr>
                <w:rFonts w:eastAsia="Times New Roman" w:cs="Arial"/>
                <w:color w:val="000000"/>
                <w:sz w:val="24"/>
                <w:szCs w:val="24"/>
              </w:rPr>
            </w:pPr>
            <w:r>
              <w:rPr>
                <w:rFonts w:eastAsia="Times New Roman" w:cs="Arial"/>
                <w:color w:val="000000"/>
                <w:sz w:val="24"/>
                <w:szCs w:val="24"/>
              </w:rPr>
              <w:t>London’s Poverty Profile, NPI, October 2013</w:t>
            </w:r>
          </w:p>
          <w:p w:rsidR="00F8665D" w:rsidRDefault="00F8665D" w:rsidP="00F8665D">
            <w:pPr>
              <w:spacing w:after="0" w:line="240" w:lineRule="auto"/>
              <w:rPr>
                <w:rFonts w:eastAsia="Times New Roman" w:cs="Arial"/>
                <w:color w:val="000000"/>
                <w:sz w:val="24"/>
                <w:szCs w:val="24"/>
              </w:rPr>
            </w:pPr>
            <w:r>
              <w:rPr>
                <w:rFonts w:eastAsia="Times New Roman" w:cs="Arial"/>
                <w:color w:val="000000"/>
                <w:sz w:val="24"/>
                <w:szCs w:val="24"/>
              </w:rPr>
              <w:t xml:space="preserve">However, while interesting, these reports do not contact enough specific information to enable us to inform the EIA in a meaningful sense. </w:t>
            </w:r>
          </w:p>
          <w:p w:rsidR="00F8665D" w:rsidRDefault="00F8665D" w:rsidP="00F8665D">
            <w:pPr>
              <w:spacing w:after="0" w:line="240" w:lineRule="auto"/>
              <w:rPr>
                <w:rFonts w:eastAsia="Times New Roman" w:cs="Arial"/>
                <w:color w:val="000000"/>
                <w:sz w:val="24"/>
                <w:szCs w:val="24"/>
              </w:rPr>
            </w:pPr>
          </w:p>
          <w:p w:rsidR="00D8747B" w:rsidRDefault="00D8747B" w:rsidP="00F8665D">
            <w:pPr>
              <w:spacing w:after="0" w:line="240" w:lineRule="auto"/>
              <w:rPr>
                <w:rFonts w:eastAsia="Times New Roman" w:cs="Arial"/>
                <w:color w:val="000000"/>
                <w:sz w:val="24"/>
                <w:szCs w:val="24"/>
              </w:rPr>
            </w:pPr>
            <w:r>
              <w:rPr>
                <w:rFonts w:eastAsia="Times New Roman" w:cs="Arial"/>
                <w:color w:val="000000"/>
                <w:sz w:val="24"/>
                <w:szCs w:val="24"/>
              </w:rPr>
              <w:t xml:space="preserve">As part of the process of developing the council’s Financial Resilience Strategy, ethnographic research was undertaken with 8 low income households. This data is rich in terms of what it tells us about attitudes to spending and money management and how residents might prefer to get support around debt, benefits and budgeting but it is not a large enough sample to draw any equalities inferences. </w:t>
            </w:r>
          </w:p>
          <w:p w:rsidR="00D8747B" w:rsidRDefault="00D8747B" w:rsidP="00F8665D">
            <w:pPr>
              <w:spacing w:after="0" w:line="240" w:lineRule="auto"/>
              <w:rPr>
                <w:rFonts w:eastAsia="Times New Roman" w:cs="Arial"/>
                <w:color w:val="000000"/>
                <w:sz w:val="24"/>
                <w:szCs w:val="24"/>
              </w:rPr>
            </w:pPr>
          </w:p>
          <w:p w:rsidR="00C43BB0" w:rsidRDefault="00F8665D" w:rsidP="00F8665D">
            <w:pPr>
              <w:spacing w:after="0" w:line="240" w:lineRule="auto"/>
              <w:rPr>
                <w:rFonts w:eastAsia="Times New Roman" w:cs="Arial"/>
                <w:color w:val="000000"/>
                <w:sz w:val="24"/>
                <w:szCs w:val="24"/>
              </w:rPr>
            </w:pPr>
            <w:r>
              <w:rPr>
                <w:rFonts w:eastAsia="Times New Roman" w:cs="Arial"/>
                <w:color w:val="000000"/>
                <w:sz w:val="24"/>
                <w:szCs w:val="24"/>
              </w:rPr>
              <w:lastRenderedPageBreak/>
              <w:t>In 2014, Lambeth advice agencies interviewed a random sample of 100 of the 542 individuals who owed the council the most money across the areas of council tax and rent (known a</w:t>
            </w:r>
            <w:r w:rsidR="00D8747B">
              <w:rPr>
                <w:rFonts w:eastAsia="Times New Roman" w:cs="Arial"/>
                <w:color w:val="000000"/>
                <w:sz w:val="24"/>
                <w:szCs w:val="24"/>
              </w:rPr>
              <w:t>s “multiple debtors”). T</w:t>
            </w:r>
            <w:r>
              <w:rPr>
                <w:rFonts w:eastAsia="Times New Roman" w:cs="Arial"/>
                <w:color w:val="000000"/>
                <w:sz w:val="24"/>
                <w:szCs w:val="24"/>
              </w:rPr>
              <w:t>hese interviews concentrated on examining attitudes about debt, debt support and how the council’s processes around income and debt management were experienced rather than collating demographic information.</w:t>
            </w:r>
            <w:r w:rsidR="00D8747B">
              <w:rPr>
                <w:rFonts w:eastAsia="Times New Roman" w:cs="Arial"/>
                <w:color w:val="000000"/>
                <w:sz w:val="24"/>
                <w:szCs w:val="24"/>
              </w:rPr>
              <w:t xml:space="preserve"> However, they provide information which supports many of the changes set out above as debtors reported feeling confused about how to get advice, concerned about the lack of joined up working on behalf of council services seeking to collect debt and an unwillingness on the part of those collecting debt to consider their vulnerability/ability to pay and adapt their approach accordingly.</w:t>
            </w:r>
          </w:p>
          <w:p w:rsidR="00F8665D" w:rsidRDefault="00F8665D" w:rsidP="00F8665D">
            <w:pPr>
              <w:spacing w:after="0" w:line="240" w:lineRule="auto"/>
              <w:rPr>
                <w:rFonts w:eastAsia="Times New Roman" w:cs="Arial"/>
                <w:color w:val="000000"/>
                <w:sz w:val="24"/>
                <w:szCs w:val="24"/>
              </w:rPr>
            </w:pPr>
          </w:p>
          <w:p w:rsidR="00F8665D" w:rsidRDefault="00F8665D" w:rsidP="00F8665D">
            <w:pPr>
              <w:spacing w:after="0" w:line="240" w:lineRule="auto"/>
              <w:rPr>
                <w:rFonts w:eastAsia="Times New Roman" w:cs="Arial"/>
                <w:color w:val="000000"/>
                <w:sz w:val="24"/>
                <w:szCs w:val="24"/>
              </w:rPr>
            </w:pPr>
            <w:r>
              <w:rPr>
                <w:rFonts w:eastAsia="Times New Roman" w:cs="Arial"/>
                <w:color w:val="000000"/>
                <w:sz w:val="24"/>
                <w:szCs w:val="24"/>
              </w:rPr>
              <w:t xml:space="preserve">Lambeth Living have provided information </w:t>
            </w:r>
            <w:r w:rsidR="008F0BDD">
              <w:rPr>
                <w:rFonts w:eastAsia="Times New Roman" w:cs="Arial"/>
                <w:color w:val="000000"/>
                <w:sz w:val="24"/>
                <w:szCs w:val="24"/>
              </w:rPr>
              <w:t xml:space="preserve">from Jan 2015 </w:t>
            </w:r>
            <w:r>
              <w:rPr>
                <w:rFonts w:eastAsia="Times New Roman" w:cs="Arial"/>
                <w:color w:val="000000"/>
                <w:sz w:val="24"/>
                <w:szCs w:val="24"/>
              </w:rPr>
              <w:t xml:space="preserve">on tenants who owe more than £600 in </w:t>
            </w:r>
            <w:r w:rsidR="008F0BDD">
              <w:rPr>
                <w:rFonts w:eastAsia="Times New Roman" w:cs="Arial"/>
                <w:color w:val="000000"/>
                <w:sz w:val="24"/>
                <w:szCs w:val="24"/>
              </w:rPr>
              <w:t xml:space="preserve">rent </w:t>
            </w:r>
            <w:r>
              <w:rPr>
                <w:rFonts w:eastAsia="Times New Roman" w:cs="Arial"/>
                <w:color w:val="000000"/>
                <w:sz w:val="24"/>
                <w:szCs w:val="24"/>
              </w:rPr>
              <w:t>arrears (2,903 tenants</w:t>
            </w:r>
            <w:r w:rsidR="008F0BDD">
              <w:rPr>
                <w:rFonts w:eastAsia="Times New Roman" w:cs="Arial"/>
                <w:color w:val="000000"/>
                <w:sz w:val="24"/>
                <w:szCs w:val="24"/>
              </w:rPr>
              <w:t xml:space="preserve"> out of 23,613 – around 12%</w:t>
            </w:r>
            <w:r>
              <w:rPr>
                <w:rFonts w:eastAsia="Times New Roman" w:cs="Arial"/>
                <w:color w:val="000000"/>
                <w:sz w:val="24"/>
                <w:szCs w:val="24"/>
              </w:rPr>
              <w:t>)</w:t>
            </w:r>
            <w:r w:rsidR="008F0BDD">
              <w:rPr>
                <w:rFonts w:eastAsia="Times New Roman" w:cs="Arial"/>
                <w:color w:val="000000"/>
                <w:sz w:val="24"/>
                <w:szCs w:val="24"/>
              </w:rPr>
              <w:t xml:space="preserve"> and this data has been used in this assessment.</w:t>
            </w:r>
          </w:p>
          <w:p w:rsidR="008F0BDD" w:rsidRDefault="008F0BDD" w:rsidP="00F8665D">
            <w:pPr>
              <w:spacing w:after="0" w:line="240" w:lineRule="auto"/>
              <w:rPr>
                <w:rFonts w:eastAsia="Times New Roman" w:cs="Arial"/>
                <w:color w:val="000000"/>
                <w:sz w:val="24"/>
                <w:szCs w:val="24"/>
              </w:rPr>
            </w:pPr>
          </w:p>
          <w:p w:rsidR="00F8665D" w:rsidRDefault="008F0BDD" w:rsidP="00F8665D">
            <w:pPr>
              <w:spacing w:after="0" w:line="240" w:lineRule="auto"/>
              <w:rPr>
                <w:rFonts w:eastAsia="Times New Roman" w:cs="Arial"/>
                <w:color w:val="000000"/>
                <w:sz w:val="24"/>
                <w:szCs w:val="24"/>
              </w:rPr>
            </w:pPr>
            <w:r>
              <w:rPr>
                <w:rFonts w:eastAsia="Times New Roman" w:cs="Arial"/>
                <w:color w:val="000000"/>
                <w:sz w:val="24"/>
                <w:szCs w:val="24"/>
              </w:rPr>
              <w:t>Revs and Bens have provided data on council tax debtors and recipients of CT support and this data has also been used in this assessment.</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sz w:val="22"/>
                <w:szCs w:val="22"/>
              </w:rPr>
              <w:t>To support vulnerable debtors a number of actions and preventions already take place in Lambeth and an overview of these services is included below to provide context for this EIA:</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 xml:space="preserve">Council Tax Summons Project </w:t>
            </w:r>
            <w:r>
              <w:rPr>
                <w:rFonts w:ascii="Arial" w:hAnsi="Arial" w:cs="Arial"/>
                <w:sz w:val="22"/>
                <w:szCs w:val="22"/>
              </w:rPr>
              <w:t xml:space="preserve">: We use an independent debt charity to try and engage with all residents that have received a final notice for their Council Tax debt, with the offer of wiping their court costs if they engage with the offer of debt support. </w:t>
            </w:r>
          </w:p>
          <w:p w:rsidR="00844EDB" w:rsidRDefault="00844EDB" w:rsidP="00844EDB">
            <w:pPr>
              <w:pStyle w:val="Default"/>
              <w:rPr>
                <w:rFonts w:ascii="Arial" w:hAnsi="Arial" w:cs="Arial"/>
                <w:b/>
                <w:bCs/>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 xml:space="preserve">Multiple debtors pilot project: </w:t>
            </w:r>
            <w:r>
              <w:rPr>
                <w:rFonts w:ascii="Arial" w:hAnsi="Arial" w:cs="Arial"/>
                <w:sz w:val="22"/>
                <w:szCs w:val="22"/>
              </w:rPr>
              <w:t>We continue to seek out and offer pro-active support to multiple debtors. This is a cohort that is made up of individuals that often owe the council a considerable sum of money in more than one area of debt and who are struggling to the point that they can no longer cope. We use independent debt charities to make contact and offer support to maximise take up and use any feedback given by debtors to refine our practice.</w:t>
            </w:r>
          </w:p>
          <w:p w:rsidR="00844EDB" w:rsidRDefault="00844EDB" w:rsidP="00844EDB">
            <w:pPr>
              <w:pStyle w:val="Default"/>
              <w:rPr>
                <w:rFonts w:ascii="Arial" w:hAnsi="Arial" w:cs="Arial"/>
                <w:b/>
                <w:bCs/>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Social Care Debtor Home Visits</w:t>
            </w:r>
            <w:r>
              <w:rPr>
                <w:rFonts w:ascii="Arial" w:hAnsi="Arial" w:cs="Arial"/>
                <w:sz w:val="22"/>
                <w:szCs w:val="22"/>
              </w:rPr>
              <w:t>: Where social care clients are identified as likely enforcement cases due to non-payment of social care charges, a home visit has been introduced to the recovery process, jointly made with a Social Worker and Solicitor acting for the Council. This allows the council to take account of individual circumstances and ensures clients understand precisely why they have to pay the care charges and the potential consequences for non-payment. The aim of the visit is to engage with the client and try and reach amicable solutions which will prevent the Council from taking more aggressive forms of enforcement.</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lastRenderedPageBreak/>
              <w:t xml:space="preserve">Bank Account take up project: </w:t>
            </w:r>
            <w:r>
              <w:rPr>
                <w:rFonts w:ascii="Arial" w:hAnsi="Arial" w:cs="Arial"/>
                <w:sz w:val="22"/>
                <w:szCs w:val="22"/>
              </w:rPr>
              <w:t>The council funds a local charity to work with High Street banks and the local Credit Union on a project to encourage and support those using Post Office Card Accounts to take up a new bank account ahead of the introduction of Universal Credit. It has been successful in supporting hundreds of residents across Lambeth to get new accounts, including vulnerable residents using day centres, hostels, Children’s Centres and food banks. After opening accounts, residents are supported as needed to set up wage/benefit payments into the account and then to set up direct debits for bills and charges. The project contributes to the council maximising its income while also supporting residents to become less financially excluded.</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 xml:space="preserve">Money Champions: </w:t>
            </w:r>
            <w:r>
              <w:rPr>
                <w:rFonts w:ascii="Arial" w:hAnsi="Arial" w:cs="Arial"/>
                <w:sz w:val="22"/>
                <w:szCs w:val="22"/>
              </w:rPr>
              <w:t xml:space="preserve">a local charity is being funded to deliver a project to increase people’s confidence to talk about money worries and encourage them to seek help if they need it. </w:t>
            </w:r>
          </w:p>
          <w:p w:rsidR="00844EDB" w:rsidRDefault="00844EDB" w:rsidP="00844EDB">
            <w:pPr>
              <w:pStyle w:val="Default"/>
              <w:rPr>
                <w:rFonts w:ascii="Arial" w:hAnsi="Arial" w:cs="Arial"/>
                <w:sz w:val="22"/>
                <w:szCs w:val="22"/>
              </w:rPr>
            </w:pPr>
            <w:r>
              <w:rPr>
                <w:rFonts w:ascii="Arial" w:hAnsi="Arial" w:cs="Arial"/>
                <w:sz w:val="22"/>
                <w:szCs w:val="22"/>
              </w:rPr>
              <w:t>They will recruit and train hundreds of local Money Champions who live or work in Lambeth who will be able to talk to people about money and direct them to the local services that they might need to help with debt, work or benefits.</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 xml:space="preserve">One Lambeth Advice: </w:t>
            </w:r>
            <w:r>
              <w:rPr>
                <w:rFonts w:ascii="Arial" w:hAnsi="Arial" w:cs="Arial"/>
                <w:sz w:val="22"/>
                <w:szCs w:val="22"/>
              </w:rPr>
              <w:t xml:space="preserve">The council funds the Citizens Advice Bureau (CAB) to run the One Lambeth Advice service which provides a Freephone advice line and independent volunteer Advice Guides at a range of community locations across the borough. </w:t>
            </w:r>
          </w:p>
          <w:p w:rsidR="00844EDB" w:rsidRDefault="00844EDB" w:rsidP="00844EDB">
            <w:pPr>
              <w:pStyle w:val="Default"/>
              <w:rPr>
                <w:rFonts w:ascii="Arial" w:hAnsi="Arial" w:cs="Arial"/>
                <w:sz w:val="22"/>
                <w:szCs w:val="22"/>
              </w:rPr>
            </w:pPr>
            <w:r>
              <w:rPr>
                <w:rFonts w:ascii="Arial" w:hAnsi="Arial" w:cs="Arial"/>
                <w:sz w:val="22"/>
                <w:szCs w:val="22"/>
              </w:rPr>
              <w:t>Acting as a visible support service, that is separate from the Council, they help people in debt find the support they need on the internet or by phone and can facilitate access to a debt caseworker from one of our advice agencies as needed.</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 xml:space="preserve">Simplifying Council Tax Bills: </w:t>
            </w:r>
            <w:r>
              <w:rPr>
                <w:rFonts w:ascii="Arial" w:hAnsi="Arial" w:cs="Arial"/>
                <w:sz w:val="22"/>
                <w:szCs w:val="22"/>
              </w:rPr>
              <w:t xml:space="preserve">We have tested different styles and layouts of bills with customers to understand how we can present information on bills more simply and in a way that encourages residents to respond. </w:t>
            </w:r>
          </w:p>
          <w:p w:rsidR="00844EDB" w:rsidRDefault="00844EDB" w:rsidP="00844EDB">
            <w:pPr>
              <w:pStyle w:val="Default"/>
              <w:rPr>
                <w:rFonts w:ascii="Arial" w:hAnsi="Arial" w:cs="Arial"/>
                <w:sz w:val="22"/>
                <w:szCs w:val="22"/>
              </w:rPr>
            </w:pPr>
          </w:p>
          <w:p w:rsidR="00844EDB" w:rsidRDefault="00844EDB" w:rsidP="00844EDB">
            <w:pPr>
              <w:pStyle w:val="Default"/>
              <w:rPr>
                <w:rFonts w:ascii="Arial" w:hAnsi="Arial" w:cs="Arial"/>
                <w:sz w:val="22"/>
                <w:szCs w:val="22"/>
              </w:rPr>
            </w:pPr>
            <w:r>
              <w:rPr>
                <w:rFonts w:ascii="Arial" w:hAnsi="Arial" w:cs="Arial"/>
                <w:b/>
                <w:bCs/>
                <w:sz w:val="22"/>
                <w:szCs w:val="22"/>
              </w:rPr>
              <w:t xml:space="preserve">Use of Mixed Media: </w:t>
            </w:r>
            <w:r>
              <w:rPr>
                <w:rFonts w:ascii="Arial" w:hAnsi="Arial" w:cs="Arial"/>
                <w:sz w:val="22"/>
                <w:szCs w:val="22"/>
              </w:rPr>
              <w:t>We send SMS text messages alongside letters for final notices and reminders. These extra and more informal reminders have increased levels of Council Tax payment. We also include information about how to get debt advice via One Lambeth Advice on all rent statements and council tax bills.</w:t>
            </w:r>
          </w:p>
          <w:p w:rsidR="00844EDB" w:rsidRDefault="00844EDB" w:rsidP="00844EDB">
            <w:pPr>
              <w:pStyle w:val="Default"/>
              <w:rPr>
                <w:rFonts w:ascii="Arial" w:hAnsi="Arial" w:cs="Arial"/>
                <w:sz w:val="22"/>
                <w:szCs w:val="22"/>
              </w:rPr>
            </w:pPr>
          </w:p>
          <w:p w:rsidR="00844EDB" w:rsidRDefault="00844EDB" w:rsidP="00844EDB">
            <w:pPr>
              <w:rPr>
                <w:color w:val="1F497D" w:themeColor="dark2"/>
              </w:rPr>
            </w:pPr>
          </w:p>
          <w:p w:rsidR="00844EDB" w:rsidRPr="00F8665D" w:rsidRDefault="00844EDB" w:rsidP="00F8665D">
            <w:pPr>
              <w:spacing w:after="0" w:line="240" w:lineRule="auto"/>
              <w:rPr>
                <w:rFonts w:eastAsia="Times New Roman" w:cs="Arial"/>
                <w:color w:val="000000"/>
                <w:sz w:val="24"/>
                <w:szCs w:val="24"/>
              </w:rPr>
            </w:pPr>
          </w:p>
        </w:tc>
      </w:tr>
      <w:tr w:rsidR="00046DB3" w:rsidRPr="00431911" w:rsidTr="00C43BB0">
        <w:tc>
          <w:tcPr>
            <w:tcW w:w="13056" w:type="dxa"/>
            <w:gridSpan w:val="4"/>
            <w:shd w:val="clear" w:color="auto" w:fill="517DBF"/>
            <w:hideMark/>
          </w:tcPr>
          <w:p w:rsidR="00046DB3" w:rsidRPr="00431911" w:rsidRDefault="00046DB3" w:rsidP="00B8732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2.0 Analysing your equalities evidence</w:t>
            </w:r>
          </w:p>
        </w:tc>
      </w:tr>
      <w:tr w:rsidR="003567FB" w:rsidRPr="00635707" w:rsidTr="00C43BB0">
        <w:trPr>
          <w:trHeight w:val="444"/>
        </w:trPr>
        <w:tc>
          <w:tcPr>
            <w:tcW w:w="13056" w:type="dxa"/>
            <w:gridSpan w:val="4"/>
            <w:shd w:val="clear" w:color="auto" w:fill="EBF0F9"/>
            <w:hideMark/>
          </w:tcPr>
          <w:p w:rsidR="00354DB6" w:rsidRPr="000B4FA1" w:rsidRDefault="003567FB"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2.1 Evidence </w:t>
            </w:r>
          </w:p>
        </w:tc>
      </w:tr>
      <w:tr w:rsidR="00F914F0" w:rsidRPr="00635707" w:rsidTr="001A1633">
        <w:tc>
          <w:tcPr>
            <w:tcW w:w="3134" w:type="dxa"/>
            <w:gridSpan w:val="2"/>
            <w:shd w:val="clear" w:color="auto" w:fill="EBF0F9"/>
            <w:hideMark/>
          </w:tcPr>
          <w:p w:rsidR="00F914F0" w:rsidRPr="00F914F0" w:rsidRDefault="00F914F0" w:rsidP="00F914F0">
            <w:pPr>
              <w:spacing w:after="0" w:line="240" w:lineRule="auto"/>
              <w:rPr>
                <w:rFonts w:ascii="Calibri" w:eastAsia="Times New Roman" w:hAnsi="Calibri" w:cs="Times New Roman"/>
                <w:b/>
                <w:bCs/>
                <w:color w:val="000000"/>
                <w:sz w:val="24"/>
                <w:szCs w:val="24"/>
              </w:rPr>
            </w:pPr>
            <w:r w:rsidRPr="00F914F0">
              <w:rPr>
                <w:rFonts w:ascii="Calibri" w:eastAsia="Times New Roman" w:hAnsi="Calibri" w:cs="Times New Roman"/>
                <w:b/>
                <w:bCs/>
                <w:color w:val="000000"/>
                <w:sz w:val="24"/>
                <w:szCs w:val="24"/>
              </w:rPr>
              <w:lastRenderedPageBreak/>
              <w:t>Protected characteristics  and local equality characteristics</w:t>
            </w:r>
          </w:p>
        </w:tc>
        <w:tc>
          <w:tcPr>
            <w:tcW w:w="9922" w:type="dxa"/>
            <w:gridSpan w:val="2"/>
            <w:tcBorders>
              <w:bottom w:val="single" w:sz="4" w:space="0" w:color="auto"/>
            </w:tcBorders>
            <w:shd w:val="clear" w:color="auto" w:fill="EBF0F9"/>
          </w:tcPr>
          <w:p w:rsidR="009F7F6B" w:rsidRPr="009F7F6B" w:rsidRDefault="00F914F0" w:rsidP="009F7F6B">
            <w:pPr>
              <w:spacing w:after="0" w:line="240" w:lineRule="auto"/>
              <w:rPr>
                <w:rFonts w:ascii="Calibri" w:eastAsia="Times New Roman" w:hAnsi="Calibri" w:cs="Times New Roman"/>
                <w:b/>
                <w:bCs/>
                <w:color w:val="000000"/>
                <w:sz w:val="24"/>
                <w:szCs w:val="24"/>
              </w:rPr>
            </w:pPr>
            <w:r w:rsidRPr="00635707">
              <w:rPr>
                <w:rFonts w:ascii="Calibri" w:eastAsia="Times New Roman" w:hAnsi="Calibri" w:cs="Times New Roman"/>
                <w:b/>
                <w:bCs/>
                <w:color w:val="000000"/>
                <w:sz w:val="24"/>
                <w:szCs w:val="24"/>
              </w:rPr>
              <w:t>Impact analysis</w:t>
            </w:r>
          </w:p>
          <w:p w:rsidR="001666FD" w:rsidRPr="001666FD" w:rsidRDefault="001666FD" w:rsidP="00213191">
            <w:pPr>
              <w:spacing w:after="0" w:line="240" w:lineRule="auto"/>
              <w:rPr>
                <w:rFonts w:ascii="Calibri" w:eastAsia="Times New Roman" w:hAnsi="Calibri" w:cs="Times New Roman"/>
                <w:i/>
                <w:iCs/>
                <w:color w:val="000000"/>
                <w:sz w:val="24"/>
                <w:szCs w:val="24"/>
              </w:rPr>
            </w:pPr>
          </w:p>
        </w:tc>
      </w:tr>
      <w:tr w:rsidR="00F914F0" w:rsidRPr="00635707" w:rsidTr="001A1633">
        <w:tc>
          <w:tcPr>
            <w:tcW w:w="3134" w:type="dxa"/>
            <w:gridSpan w:val="2"/>
            <w:shd w:val="clear" w:color="auto" w:fill="EBF0F9"/>
            <w:hideMark/>
          </w:tcPr>
          <w:p w:rsidR="00F914F0" w:rsidRPr="00635707" w:rsidRDefault="00F914F0"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Race</w:t>
            </w:r>
          </w:p>
        </w:tc>
        <w:tc>
          <w:tcPr>
            <w:tcW w:w="9922" w:type="dxa"/>
            <w:gridSpan w:val="2"/>
            <w:shd w:val="clear" w:color="auto" w:fill="auto"/>
          </w:tcPr>
          <w:p w:rsidR="001666FD" w:rsidRDefault="001666FD" w:rsidP="00635707">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Unknown</w:t>
            </w:r>
            <w:r w:rsidR="00863797">
              <w:rPr>
                <w:rFonts w:ascii="Calibri" w:eastAsia="Times New Roman" w:hAnsi="Calibri" w:cs="Times New Roman"/>
                <w:bCs/>
                <w:color w:val="000000"/>
                <w:sz w:val="24"/>
                <w:szCs w:val="24"/>
              </w:rPr>
              <w:t xml:space="preserve"> </w:t>
            </w:r>
          </w:p>
          <w:p w:rsidR="001666FD" w:rsidRDefault="001666FD" w:rsidP="00A50568">
            <w:pPr>
              <w:spacing w:after="0" w:line="240" w:lineRule="auto"/>
              <w:rPr>
                <w:rFonts w:ascii="Calibri" w:eastAsia="Times New Roman" w:hAnsi="Calibri" w:cs="Times New Roman"/>
                <w:bCs/>
                <w:color w:val="000000"/>
                <w:sz w:val="24"/>
                <w:szCs w:val="24"/>
              </w:rPr>
            </w:pPr>
          </w:p>
          <w:p w:rsidR="008F0BDD" w:rsidRDefault="00F8665D" w:rsidP="008F0BD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Lambeth Living data from Jan 2015 shows that there are 2,903 </w:t>
            </w:r>
            <w:r w:rsidR="008F0BDD">
              <w:rPr>
                <w:rFonts w:ascii="Calibri" w:eastAsia="Times New Roman" w:hAnsi="Calibri" w:cs="Times New Roman"/>
                <w:bCs/>
                <w:color w:val="000000"/>
                <w:sz w:val="24"/>
                <w:szCs w:val="24"/>
              </w:rPr>
              <w:t>tenants who owe more than £600 in rent arrears. This equates to 12% of the total LL tenant population. The breakdown in terms of race is as follows:</w:t>
            </w:r>
          </w:p>
          <w:tbl>
            <w:tblPr>
              <w:tblStyle w:val="TableGrid"/>
              <w:tblW w:w="0" w:type="auto"/>
              <w:tblInd w:w="406" w:type="dxa"/>
              <w:tblLayout w:type="fixed"/>
              <w:tblLook w:val="04A0" w:firstRow="1" w:lastRow="0" w:firstColumn="1" w:lastColumn="0" w:noHBand="0" w:noVBand="1"/>
            </w:tblPr>
            <w:tblGrid>
              <w:gridCol w:w="2603"/>
              <w:gridCol w:w="1224"/>
              <w:gridCol w:w="2268"/>
            </w:tblGrid>
            <w:tr w:rsidR="000F2554" w:rsidTr="00FC7A2D">
              <w:tc>
                <w:tcPr>
                  <w:tcW w:w="2603" w:type="dxa"/>
                </w:tcPr>
                <w:p w:rsidR="000F2554" w:rsidRDefault="000F2554" w:rsidP="008F0BDD">
                  <w:pPr>
                    <w:rPr>
                      <w:rFonts w:ascii="Calibri" w:eastAsia="Times New Roman" w:hAnsi="Calibri" w:cs="Times New Roman"/>
                      <w:bCs/>
                      <w:color w:val="000000"/>
                      <w:sz w:val="24"/>
                      <w:szCs w:val="24"/>
                    </w:rPr>
                  </w:pP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Number </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in arrears (of all tenants of this race)</w:t>
                  </w:r>
                </w:p>
              </w:tc>
            </w:tr>
            <w:tr w:rsidR="000F2554" w:rsidTr="00FC7A2D">
              <w:tc>
                <w:tcPr>
                  <w:tcW w:w="2603" w:type="dxa"/>
                </w:tcPr>
                <w:p w:rsidR="000F2554" w:rsidRPr="008F0BDD"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Black </w:t>
                  </w: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1,801</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17%</w:t>
                  </w:r>
                </w:p>
              </w:tc>
            </w:tr>
            <w:tr w:rsidR="000F2554" w:rsidTr="00FC7A2D">
              <w:tc>
                <w:tcPr>
                  <w:tcW w:w="2603"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Asian</w:t>
                  </w: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55</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9%</w:t>
                  </w:r>
                </w:p>
              </w:tc>
            </w:tr>
            <w:tr w:rsidR="000F2554" w:rsidTr="00FC7A2D">
              <w:tc>
                <w:tcPr>
                  <w:tcW w:w="2603"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Chinese/Vietnamese</w:t>
                  </w: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162</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10%</w:t>
                  </w:r>
                </w:p>
              </w:tc>
            </w:tr>
            <w:tr w:rsidR="000F2554" w:rsidTr="00FC7A2D">
              <w:tc>
                <w:tcPr>
                  <w:tcW w:w="2603"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White</w:t>
                  </w: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618</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18%</w:t>
                  </w:r>
                </w:p>
              </w:tc>
            </w:tr>
            <w:tr w:rsidR="000F2554" w:rsidTr="00FC7A2D">
              <w:tc>
                <w:tcPr>
                  <w:tcW w:w="2603"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Mixed</w:t>
                  </w: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91</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8%</w:t>
                  </w:r>
                </w:p>
              </w:tc>
            </w:tr>
            <w:tr w:rsidR="000F2554" w:rsidTr="00FC7A2D">
              <w:tc>
                <w:tcPr>
                  <w:tcW w:w="2603"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tc>
              <w:tc>
                <w:tcPr>
                  <w:tcW w:w="1224"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176</w:t>
                  </w:r>
                </w:p>
              </w:tc>
              <w:tc>
                <w:tcPr>
                  <w:tcW w:w="2268" w:type="dxa"/>
                </w:tcPr>
                <w:p w:rsidR="000F2554" w:rsidRDefault="000F2554" w:rsidP="008F0BD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n/a</w:t>
                  </w:r>
                </w:p>
              </w:tc>
            </w:tr>
          </w:tbl>
          <w:p w:rsidR="00F8665D" w:rsidRDefault="00F8665D" w:rsidP="008F0BD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p>
          <w:p w:rsidR="008F0BDD" w:rsidRDefault="008F0BDD" w:rsidP="008F0BD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p>
          <w:p w:rsidR="008F0BDD" w:rsidRDefault="008F0BDD" w:rsidP="008F0BDD">
            <w:pPr>
              <w:spacing w:after="0" w:line="240" w:lineRule="auto"/>
              <w:rPr>
                <w:rFonts w:ascii="Calibri" w:eastAsia="Times New Roman" w:hAnsi="Calibri" w:cs="Times New Roman"/>
                <w:bCs/>
                <w:color w:val="000000"/>
                <w:sz w:val="24"/>
                <w:szCs w:val="24"/>
              </w:rPr>
            </w:pPr>
          </w:p>
          <w:p w:rsidR="008F0BDD" w:rsidRDefault="008F0BDD" w:rsidP="008F0BD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new efforts</w:t>
            </w:r>
            <w:r w:rsidR="00FC7A2D">
              <w:rPr>
                <w:rFonts w:ascii="Calibri" w:eastAsia="Times New Roman" w:hAnsi="Calibri" w:cs="Times New Roman"/>
                <w:bCs/>
                <w:color w:val="000000"/>
                <w:sz w:val="24"/>
                <w:szCs w:val="24"/>
              </w:rPr>
              <w:t xml:space="preserve"> to provide </w:t>
            </w:r>
            <w:r w:rsidR="000F2554">
              <w:rPr>
                <w:rFonts w:ascii="Calibri" w:eastAsia="Times New Roman" w:hAnsi="Calibri" w:cs="Times New Roman"/>
                <w:bCs/>
                <w:color w:val="000000"/>
                <w:sz w:val="24"/>
                <w:szCs w:val="24"/>
              </w:rPr>
              <w:t>Income and Debt Strategy Protected Groups</w:t>
            </w:r>
            <w:r w:rsidR="00886710">
              <w:rPr>
                <w:rFonts w:ascii="Calibri" w:eastAsia="Times New Roman" w:hAnsi="Calibri" w:cs="Times New Roman"/>
                <w:bCs/>
                <w:color w:val="000000"/>
                <w:sz w:val="24"/>
                <w:szCs w:val="24"/>
              </w:rPr>
              <w:t xml:space="preserve"> (defined in 1.1) </w:t>
            </w:r>
            <w:r w:rsidR="00FC7A2D">
              <w:rPr>
                <w:rFonts w:ascii="Calibri" w:eastAsia="Times New Roman" w:hAnsi="Calibri" w:cs="Times New Roman"/>
                <w:bCs/>
                <w:color w:val="000000"/>
                <w:sz w:val="24"/>
                <w:szCs w:val="24"/>
              </w:rPr>
              <w:t>with more support prior to eviction proceedings (pre-eviction panels) is likely to be positive for those groups who are disproportionately in arrears but we cannot be conclusive about this as we cannot cross reference the data on the race of LL tenants in arrears against the Protected Group categories.</w:t>
            </w:r>
          </w:p>
          <w:p w:rsidR="003E5D5D" w:rsidRDefault="003E5D5D" w:rsidP="008F0BDD">
            <w:pPr>
              <w:spacing w:after="0" w:line="240" w:lineRule="auto"/>
              <w:rPr>
                <w:rFonts w:ascii="Calibri" w:eastAsia="Times New Roman" w:hAnsi="Calibri" w:cs="Times New Roman"/>
                <w:bCs/>
                <w:color w:val="000000"/>
                <w:sz w:val="24"/>
                <w:szCs w:val="24"/>
              </w:rPr>
            </w:pPr>
          </w:p>
          <w:p w:rsidR="003E5D5D" w:rsidRDefault="003E5D5D"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Two thirds of all Lambeth Advice Network clients are from a BME background. It is not possible to ascertain what proportion of these clients come forward with a debt, housing or benefits need (or a combination) but the high numbers suggest that improved debt support/processes are likely to be beneficial for this group. </w:t>
            </w:r>
          </w:p>
          <w:p w:rsidR="00FF2BEA" w:rsidRDefault="00FF2BEA" w:rsidP="003E5D5D">
            <w:pPr>
              <w:spacing w:after="0" w:line="240" w:lineRule="auto"/>
              <w:rPr>
                <w:rFonts w:ascii="Calibri" w:eastAsia="Times New Roman" w:hAnsi="Calibri" w:cs="Times New Roman"/>
                <w:bCs/>
                <w:color w:val="000000"/>
                <w:sz w:val="24"/>
                <w:szCs w:val="24"/>
              </w:rPr>
            </w:pP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racial breakdown for recipients of Council Tax Support (CTS) (who will receive additional protection from bailiff action) is not very complete</w:t>
            </w:r>
            <w:r w:rsidR="000F2554">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The breakdown from the available data is as follows:</w:t>
            </w:r>
          </w:p>
          <w:p w:rsidR="00FF2BEA" w:rsidRDefault="00FF2BEA" w:rsidP="003E5D5D">
            <w:pPr>
              <w:spacing w:after="0" w:line="240" w:lineRule="auto"/>
              <w:rPr>
                <w:rFonts w:ascii="Calibri" w:eastAsia="Times New Roman" w:hAnsi="Calibri" w:cs="Times New Roman"/>
                <w:bCs/>
                <w:color w:val="000000"/>
                <w:sz w:val="24"/>
                <w:szCs w:val="24"/>
              </w:rPr>
            </w:pP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lastRenderedPageBreak/>
              <w:t>Asian – 2%</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Black Caribbean – 10%</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Black African – 9%</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White - 5%</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Chinese – 1%</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Mixed – 3%</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Other – 13%</w:t>
            </w:r>
          </w:p>
          <w:p w:rsidR="00FF2BEA" w:rsidRDefault="00FF2BEA"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Not recorded/refused – 55%</w:t>
            </w:r>
          </w:p>
          <w:p w:rsidR="006D54CE" w:rsidRDefault="006D54CE" w:rsidP="003E5D5D">
            <w:pPr>
              <w:spacing w:after="0" w:line="240" w:lineRule="auto"/>
              <w:rPr>
                <w:rFonts w:ascii="Calibri" w:eastAsia="Times New Roman" w:hAnsi="Calibri" w:cs="Times New Roman"/>
                <w:bCs/>
                <w:color w:val="000000"/>
                <w:sz w:val="24"/>
                <w:szCs w:val="24"/>
              </w:rPr>
            </w:pPr>
          </w:p>
          <w:p w:rsidR="006D54CE" w:rsidRDefault="006D54CE"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D8747B" w:rsidRDefault="00D8747B" w:rsidP="008F0BDD">
            <w:pPr>
              <w:spacing w:after="0" w:line="240" w:lineRule="auto"/>
              <w:rPr>
                <w:rFonts w:ascii="Calibri" w:eastAsia="Times New Roman" w:hAnsi="Calibri" w:cs="Times New Roman"/>
                <w:bCs/>
                <w:color w:val="000000"/>
                <w:sz w:val="24"/>
                <w:szCs w:val="24"/>
              </w:rPr>
            </w:pPr>
          </w:p>
          <w:p w:rsidR="008F0BDD" w:rsidRPr="001666FD" w:rsidRDefault="00D8747B" w:rsidP="008F0BD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1666FD" w:rsidRPr="00635707" w:rsidTr="001A1633">
        <w:trPr>
          <w:trHeight w:val="513"/>
        </w:trPr>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Gender</w:t>
            </w:r>
          </w:p>
        </w:tc>
        <w:tc>
          <w:tcPr>
            <w:tcW w:w="9922" w:type="dxa"/>
            <w:gridSpan w:val="2"/>
            <w:shd w:val="clear" w:color="auto" w:fill="auto"/>
          </w:tcPr>
          <w:p w:rsidR="00FE4B34" w:rsidRDefault="00FC7A2D"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FC7A2D" w:rsidRDefault="00FC7A2D" w:rsidP="00FE4B34">
            <w:pPr>
              <w:spacing w:after="0" w:line="240" w:lineRule="auto"/>
              <w:rPr>
                <w:rFonts w:ascii="Calibri" w:eastAsia="Times New Roman" w:hAnsi="Calibri" w:cs="Times New Roman"/>
                <w:bCs/>
                <w:color w:val="000000"/>
                <w:sz w:val="24"/>
                <w:szCs w:val="24"/>
              </w:rPr>
            </w:pPr>
          </w:p>
          <w:p w:rsidR="00FF2BEA" w:rsidRDefault="00FF2BEA"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breakdown of CTS recipients according to gender is as follows:</w:t>
            </w:r>
          </w:p>
          <w:p w:rsidR="00FF2BEA" w:rsidRDefault="00FF2BEA"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Male – 39%</w:t>
            </w:r>
          </w:p>
          <w:p w:rsidR="00FF2BEA" w:rsidRDefault="00FF2BEA"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Female – 61%</w:t>
            </w:r>
          </w:p>
          <w:p w:rsidR="006D54CE" w:rsidRDefault="006D54CE" w:rsidP="00FE4B34">
            <w:pPr>
              <w:spacing w:after="0" w:line="240" w:lineRule="auto"/>
              <w:rPr>
                <w:rFonts w:ascii="Calibri" w:eastAsia="Times New Roman" w:hAnsi="Calibri" w:cs="Times New Roman"/>
                <w:bCs/>
                <w:color w:val="000000"/>
                <w:sz w:val="24"/>
                <w:szCs w:val="24"/>
              </w:rPr>
            </w:pPr>
          </w:p>
          <w:p w:rsidR="00FF2BEA" w:rsidRDefault="00FF2BEA"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Women will therefore be more likely to benefit from the extra protection from bailiff action afforded by the strategy.</w:t>
            </w:r>
          </w:p>
          <w:p w:rsidR="00FF2BEA" w:rsidRDefault="00FF2BEA" w:rsidP="00FE4B34">
            <w:pPr>
              <w:spacing w:after="0" w:line="240" w:lineRule="auto"/>
              <w:rPr>
                <w:rFonts w:ascii="Calibri" w:eastAsia="Times New Roman" w:hAnsi="Calibri" w:cs="Times New Roman"/>
                <w:bCs/>
                <w:color w:val="000000"/>
                <w:sz w:val="24"/>
                <w:szCs w:val="24"/>
              </w:rPr>
            </w:pPr>
          </w:p>
          <w:p w:rsidR="00FC7A2D" w:rsidRDefault="00FC7A2D"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Lambeth Living data from Jan 2015 shows that there are 2,903 tenants who owe more than £600 in rent arrears. This equates to 12% of the total LL tenant population. The breakdown in terms of gender is as follows:</w:t>
            </w:r>
          </w:p>
          <w:tbl>
            <w:tblPr>
              <w:tblStyle w:val="TableGrid"/>
              <w:tblW w:w="0" w:type="auto"/>
              <w:tblInd w:w="406" w:type="dxa"/>
              <w:tblLayout w:type="fixed"/>
              <w:tblLook w:val="04A0" w:firstRow="1" w:lastRow="0" w:firstColumn="1" w:lastColumn="0" w:noHBand="0" w:noVBand="1"/>
            </w:tblPr>
            <w:tblGrid>
              <w:gridCol w:w="2603"/>
              <w:gridCol w:w="1224"/>
              <w:gridCol w:w="1984"/>
              <w:gridCol w:w="2552"/>
            </w:tblGrid>
            <w:tr w:rsidR="00FC7A2D" w:rsidTr="006D54CE">
              <w:tc>
                <w:tcPr>
                  <w:tcW w:w="2603" w:type="dxa"/>
                </w:tcPr>
                <w:p w:rsidR="00FC7A2D" w:rsidRDefault="00FC7A2D" w:rsidP="0037154B">
                  <w:pPr>
                    <w:rPr>
                      <w:rFonts w:ascii="Calibri" w:eastAsia="Times New Roman" w:hAnsi="Calibri" w:cs="Times New Roman"/>
                      <w:bCs/>
                      <w:color w:val="000000"/>
                      <w:sz w:val="24"/>
                      <w:szCs w:val="24"/>
                    </w:rPr>
                  </w:pPr>
                </w:p>
              </w:tc>
              <w:tc>
                <w:tcPr>
                  <w:tcW w:w="122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Number </w:t>
                  </w:r>
                </w:p>
              </w:tc>
              <w:tc>
                <w:tcPr>
                  <w:tcW w:w="198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of 2,903 tenants in arrears</w:t>
                  </w:r>
                </w:p>
              </w:tc>
              <w:tc>
                <w:tcPr>
                  <w:tcW w:w="2552" w:type="dxa"/>
                </w:tcPr>
                <w:p w:rsidR="00FC7A2D" w:rsidRDefault="00FC7A2D" w:rsidP="00FC7A2D">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in arrears (of all tenants of this gender)</w:t>
                  </w:r>
                </w:p>
              </w:tc>
            </w:tr>
            <w:tr w:rsidR="00FC7A2D" w:rsidTr="006D54CE">
              <w:tc>
                <w:tcPr>
                  <w:tcW w:w="2603" w:type="dxa"/>
                </w:tcPr>
                <w:p w:rsidR="00FC7A2D" w:rsidRPr="008F0BD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Female</w:t>
                  </w:r>
                </w:p>
              </w:tc>
              <w:tc>
                <w:tcPr>
                  <w:tcW w:w="122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1,895</w:t>
                  </w:r>
                </w:p>
              </w:tc>
              <w:tc>
                <w:tcPr>
                  <w:tcW w:w="198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65%</w:t>
                  </w:r>
                </w:p>
              </w:tc>
              <w:tc>
                <w:tcPr>
                  <w:tcW w:w="2552"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13%</w:t>
                  </w:r>
                </w:p>
              </w:tc>
            </w:tr>
            <w:tr w:rsidR="00FC7A2D" w:rsidTr="006D54CE">
              <w:tc>
                <w:tcPr>
                  <w:tcW w:w="2603"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Male</w:t>
                  </w:r>
                </w:p>
              </w:tc>
              <w:tc>
                <w:tcPr>
                  <w:tcW w:w="122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1,007</w:t>
                  </w:r>
                </w:p>
              </w:tc>
              <w:tc>
                <w:tcPr>
                  <w:tcW w:w="198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35%</w:t>
                  </w:r>
                </w:p>
              </w:tc>
              <w:tc>
                <w:tcPr>
                  <w:tcW w:w="2552"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12%</w:t>
                  </w:r>
                </w:p>
              </w:tc>
            </w:tr>
            <w:tr w:rsidR="00FC7A2D" w:rsidTr="006D54CE">
              <w:tc>
                <w:tcPr>
                  <w:tcW w:w="2603"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tc>
              <w:tc>
                <w:tcPr>
                  <w:tcW w:w="122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w:t>
                  </w:r>
                </w:p>
              </w:tc>
              <w:tc>
                <w:tcPr>
                  <w:tcW w:w="1984"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0%</w:t>
                  </w:r>
                </w:p>
              </w:tc>
              <w:tc>
                <w:tcPr>
                  <w:tcW w:w="2552" w:type="dxa"/>
                </w:tcPr>
                <w:p w:rsidR="00FC7A2D" w:rsidRDefault="00FC7A2D"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n/a</w:t>
                  </w:r>
                </w:p>
              </w:tc>
            </w:tr>
          </w:tbl>
          <w:p w:rsidR="00FC7A2D" w:rsidRDefault="00FC7A2D"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lastRenderedPageBreak/>
              <w:t xml:space="preserve"> </w:t>
            </w:r>
          </w:p>
          <w:p w:rsidR="00FC7A2D" w:rsidRDefault="00FC7A2D"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This shows that female and male tenants are equally likely to be in arrears and at a level that matches the average for the tenant group as a whole.</w:t>
            </w:r>
          </w:p>
          <w:p w:rsidR="00FC7A2D" w:rsidRDefault="00FC7A2D" w:rsidP="00FC7A2D">
            <w:pPr>
              <w:spacing w:after="0" w:line="240" w:lineRule="auto"/>
              <w:rPr>
                <w:rFonts w:ascii="Calibri" w:eastAsia="Times New Roman" w:hAnsi="Calibri" w:cs="Times New Roman"/>
                <w:bCs/>
                <w:color w:val="000000"/>
                <w:sz w:val="24"/>
                <w:szCs w:val="24"/>
              </w:rPr>
            </w:pPr>
          </w:p>
          <w:p w:rsidR="001666FD" w:rsidRDefault="00FC7A2D"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new commitment to provide Protected Groups with more support prior to eviction proceedings (pre-eviction panels) is likely to be positive for all tenants in arrears but we cannot be conclusive about this as we cannot cross reference the data on the gender of LL tenants in arrears against the Protected Group categories. We know that carers and those affected by the benefit cap are more likely to be female but these numbers are small within the overall protected cohort.</w:t>
            </w:r>
          </w:p>
          <w:p w:rsidR="00D8747B" w:rsidRDefault="00D8747B" w:rsidP="00FC7A2D">
            <w:pPr>
              <w:spacing w:after="0" w:line="240" w:lineRule="auto"/>
              <w:rPr>
                <w:rFonts w:ascii="Calibri" w:eastAsia="Times New Roman" w:hAnsi="Calibri" w:cs="Times New Roman"/>
                <w:bCs/>
                <w:color w:val="000000"/>
                <w:sz w:val="24"/>
                <w:szCs w:val="24"/>
              </w:rPr>
            </w:pPr>
          </w:p>
          <w:p w:rsidR="003E5D5D" w:rsidRDefault="003E5D5D"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Two thirds of all Lambeth Advice Network clients are female. It is not possible to ascertain what proportion of these clients come forward with a debt, housing or benefits need (or a combination) but the high numbers suggest that improved debt support/processes are likely to be beneficial for this group. </w:t>
            </w:r>
          </w:p>
          <w:p w:rsidR="003E5D5D" w:rsidRDefault="003E5D5D" w:rsidP="00FC7A2D">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FC7A2D">
            <w:pPr>
              <w:spacing w:after="0" w:line="240" w:lineRule="auto"/>
              <w:rPr>
                <w:rFonts w:ascii="Calibri" w:eastAsia="Times New Roman" w:hAnsi="Calibri" w:cs="Times New Roman"/>
                <w:bCs/>
                <w:color w:val="000000"/>
                <w:sz w:val="24"/>
                <w:szCs w:val="24"/>
              </w:rPr>
            </w:pPr>
          </w:p>
          <w:p w:rsidR="00FC7A2D" w:rsidRDefault="00D8747B"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p w:rsidR="00FF2BEA" w:rsidRPr="00D8747B" w:rsidRDefault="00FF2BEA" w:rsidP="00FC7A2D">
            <w:pPr>
              <w:spacing w:after="0" w:line="240" w:lineRule="auto"/>
              <w:rPr>
                <w:rFonts w:ascii="Calibri" w:eastAsia="Times New Roman" w:hAnsi="Calibri" w:cs="Times New Roman"/>
                <w:bCs/>
                <w:color w:val="000000"/>
                <w:sz w:val="24"/>
                <w:szCs w:val="24"/>
              </w:rPr>
            </w:pPr>
          </w:p>
        </w:tc>
      </w:tr>
      <w:tr w:rsidR="001666FD" w:rsidRPr="00635707" w:rsidTr="001A1633">
        <w:tc>
          <w:tcPr>
            <w:tcW w:w="3134" w:type="dxa"/>
            <w:gridSpan w:val="2"/>
            <w:shd w:val="clear" w:color="auto" w:fill="EBF0F9"/>
            <w:hideMark/>
          </w:tcPr>
          <w:p w:rsidR="001666FD" w:rsidRPr="00635707" w:rsidRDefault="001666FD"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Gender re-assignment</w:t>
            </w:r>
          </w:p>
        </w:tc>
        <w:tc>
          <w:tcPr>
            <w:tcW w:w="9922" w:type="dxa"/>
            <w:gridSpan w:val="2"/>
            <w:shd w:val="clear" w:color="auto" w:fill="auto"/>
          </w:tcPr>
          <w:p w:rsidR="00FE4B34" w:rsidRDefault="00FC7A2D"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FC7A2D" w:rsidRDefault="00FC7A2D" w:rsidP="00FE4B34">
            <w:pPr>
              <w:spacing w:after="0" w:line="240" w:lineRule="auto"/>
              <w:rPr>
                <w:rFonts w:ascii="Calibri" w:eastAsia="Times New Roman" w:hAnsi="Calibri" w:cs="Times New Roman"/>
                <w:bCs/>
                <w:color w:val="000000"/>
                <w:sz w:val="24"/>
                <w:szCs w:val="24"/>
              </w:rPr>
            </w:pPr>
          </w:p>
          <w:p w:rsidR="001666FD" w:rsidRDefault="00FC7A2D"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We do not have data which allows us to assess the impact for those residents undergoing gender reassignment. LL records this but has a very incomplete dataset with the status unrecorded in 2,779 out of 2,903 cases. </w:t>
            </w:r>
          </w:p>
          <w:p w:rsidR="006D54CE" w:rsidRDefault="006D54CE" w:rsidP="00FC7A2D">
            <w:pPr>
              <w:spacing w:after="0" w:line="240" w:lineRule="auto"/>
              <w:rPr>
                <w:rFonts w:ascii="Calibri" w:eastAsia="Times New Roman" w:hAnsi="Calibri" w:cs="Times New Roman"/>
                <w:bCs/>
                <w:color w:val="000000"/>
                <w:sz w:val="24"/>
                <w:szCs w:val="24"/>
              </w:rPr>
            </w:pPr>
          </w:p>
          <w:p w:rsidR="006D54CE" w:rsidRDefault="006D54CE"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D8747B" w:rsidRDefault="00D8747B" w:rsidP="00FC7A2D">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FC7A2D">
            <w:pPr>
              <w:spacing w:after="0" w:line="240" w:lineRule="auto"/>
              <w:rPr>
                <w:rFonts w:ascii="Calibri" w:eastAsia="Times New Roman" w:hAnsi="Calibri" w:cs="Times New Roman"/>
                <w:bCs/>
                <w:color w:val="000000"/>
                <w:sz w:val="24"/>
                <w:szCs w:val="24"/>
              </w:rPr>
            </w:pPr>
          </w:p>
          <w:p w:rsidR="00D8747B" w:rsidRPr="00D8747B" w:rsidRDefault="00D8747B"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Disability</w:t>
            </w:r>
          </w:p>
        </w:tc>
        <w:tc>
          <w:tcPr>
            <w:tcW w:w="9922" w:type="dxa"/>
            <w:gridSpan w:val="2"/>
            <w:shd w:val="clear" w:color="auto" w:fill="auto"/>
          </w:tcPr>
          <w:p w:rsidR="003E5D5D" w:rsidRDefault="003E5D5D"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3E5D5D" w:rsidRDefault="003E5D5D" w:rsidP="003E5D5D">
            <w:pPr>
              <w:spacing w:after="0" w:line="240" w:lineRule="auto"/>
              <w:rPr>
                <w:rFonts w:ascii="Calibri" w:eastAsia="Times New Roman" w:hAnsi="Calibri" w:cs="Times New Roman"/>
                <w:bCs/>
                <w:color w:val="000000"/>
                <w:sz w:val="24"/>
                <w:szCs w:val="24"/>
              </w:rPr>
            </w:pPr>
          </w:p>
          <w:p w:rsidR="003E5D5D" w:rsidRDefault="003E5D5D"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 the data we need to allow us to assess the impact for residents according to their disability. LL records this but has a very incomplete dataset with health status mixed in with disabilities and a vulnerability status that is drawn much more widely in accordance with a local vulnerability policy. A disability, health or vulnerability need is only recorded in 134 out of the 2,903 cases of tenants in arrears of more than £600. A record of disability benefits cross referenced to arrears is not kept as DLA/PIP are benefits which do not affect HB/CTS entitlement and the tenant is therefore not obligated to report them.</w:t>
            </w:r>
          </w:p>
          <w:p w:rsidR="003E5D5D" w:rsidRDefault="003E5D5D" w:rsidP="003E5D5D">
            <w:pPr>
              <w:spacing w:after="0" w:line="240" w:lineRule="auto"/>
              <w:rPr>
                <w:rFonts w:ascii="Calibri" w:eastAsia="Times New Roman" w:hAnsi="Calibri" w:cs="Times New Roman"/>
                <w:bCs/>
                <w:color w:val="000000"/>
                <w:sz w:val="24"/>
                <w:szCs w:val="24"/>
              </w:rPr>
            </w:pPr>
          </w:p>
          <w:p w:rsidR="003E5D5D" w:rsidRDefault="003E5D5D"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One third of all Lambeth Advice Network clients have a health or disability need. It is not possible to ascertain what proportion of these clients come forward with a debt, housing or benefits need (or a combination) but the high numbers suggest that improved debt support/processes are likely to be beneficial for this group. </w:t>
            </w:r>
          </w:p>
          <w:p w:rsidR="006D54CE" w:rsidRDefault="006D54CE" w:rsidP="003E5D5D">
            <w:pPr>
              <w:spacing w:after="0" w:line="240" w:lineRule="auto"/>
              <w:rPr>
                <w:rFonts w:ascii="Calibri" w:eastAsia="Times New Roman" w:hAnsi="Calibri" w:cs="Times New Roman"/>
                <w:bCs/>
                <w:color w:val="000000"/>
                <w:sz w:val="24"/>
                <w:szCs w:val="24"/>
              </w:rPr>
            </w:pPr>
          </w:p>
          <w:p w:rsidR="006D54CE" w:rsidRDefault="006D54CE"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 CTS database records exemption from cuts to CTS according to whether a disability premium is paid to the household and 17% of households receive full CTS in accordance with this. We cannot conclude though that this means that 83% of CTS </w:t>
            </w:r>
            <w:r w:rsidR="00452433">
              <w:rPr>
                <w:rFonts w:ascii="Calibri" w:eastAsia="Times New Roman" w:hAnsi="Calibri" w:cs="Times New Roman"/>
                <w:bCs/>
                <w:color w:val="000000"/>
                <w:sz w:val="24"/>
                <w:szCs w:val="24"/>
              </w:rPr>
              <w:t>recipients</w:t>
            </w:r>
            <w:r>
              <w:rPr>
                <w:rFonts w:ascii="Calibri" w:eastAsia="Times New Roman" w:hAnsi="Calibri" w:cs="Times New Roman"/>
                <w:bCs/>
                <w:color w:val="000000"/>
                <w:sz w:val="24"/>
                <w:szCs w:val="24"/>
              </w:rPr>
              <w:t xml:space="preserve"> are not disabled – they may be but they may have an exemption from the cuts to CTS under another category (eg: ben cap, age, carer).</w:t>
            </w:r>
          </w:p>
          <w:p w:rsidR="003E5D5D" w:rsidRDefault="003E5D5D" w:rsidP="003E5D5D">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3E5D5D">
            <w:pPr>
              <w:spacing w:after="0" w:line="240" w:lineRule="auto"/>
              <w:rPr>
                <w:rFonts w:ascii="Calibri" w:eastAsia="Times New Roman" w:hAnsi="Calibri" w:cs="Times New Roman"/>
                <w:bCs/>
                <w:color w:val="000000"/>
                <w:sz w:val="24"/>
                <w:szCs w:val="24"/>
              </w:rPr>
            </w:pPr>
          </w:p>
          <w:p w:rsidR="001666FD" w:rsidRDefault="003E5D5D" w:rsidP="003E5D5D">
            <w:pPr>
              <w:spacing w:after="0" w:line="240" w:lineRule="auto"/>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Age</w:t>
            </w:r>
          </w:p>
        </w:tc>
        <w:tc>
          <w:tcPr>
            <w:tcW w:w="9922" w:type="dxa"/>
            <w:gridSpan w:val="2"/>
            <w:shd w:val="clear" w:color="auto" w:fill="auto"/>
          </w:tcPr>
          <w:p w:rsidR="001666FD" w:rsidRDefault="00253AC6" w:rsidP="00FE4B34">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253AC6" w:rsidRDefault="00253AC6"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lastRenderedPageBreak/>
              <w:t>Lambeth Living data from Jan 2015 shows that there are 2,903 tenants who owe more than £600 in rent arrears. This equates to 12% of the total LL tenant population. The breakdown in terms of age is as follows:</w:t>
            </w:r>
          </w:p>
          <w:tbl>
            <w:tblPr>
              <w:tblStyle w:val="TableGrid"/>
              <w:tblW w:w="0" w:type="auto"/>
              <w:tblInd w:w="406" w:type="dxa"/>
              <w:tblLayout w:type="fixed"/>
              <w:tblLook w:val="04A0" w:firstRow="1" w:lastRow="0" w:firstColumn="1" w:lastColumn="0" w:noHBand="0" w:noVBand="1"/>
            </w:tblPr>
            <w:tblGrid>
              <w:gridCol w:w="2603"/>
              <w:gridCol w:w="1224"/>
              <w:gridCol w:w="1984"/>
              <w:gridCol w:w="2268"/>
            </w:tblGrid>
            <w:tr w:rsidR="00253AC6" w:rsidTr="0037154B">
              <w:tc>
                <w:tcPr>
                  <w:tcW w:w="2603" w:type="dxa"/>
                </w:tcPr>
                <w:p w:rsidR="00253AC6" w:rsidRDefault="00253AC6" w:rsidP="0037154B">
                  <w:pPr>
                    <w:rPr>
                      <w:rFonts w:ascii="Calibri" w:eastAsia="Times New Roman" w:hAnsi="Calibri" w:cs="Times New Roman"/>
                      <w:bCs/>
                      <w:color w:val="000000"/>
                      <w:sz w:val="24"/>
                      <w:szCs w:val="24"/>
                    </w:rPr>
                  </w:pPr>
                </w:p>
              </w:tc>
              <w:tc>
                <w:tcPr>
                  <w:tcW w:w="122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Number </w:t>
                  </w:r>
                </w:p>
              </w:tc>
              <w:tc>
                <w:tcPr>
                  <w:tcW w:w="198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of 2,903 tenants in arrears</w:t>
                  </w:r>
                </w:p>
              </w:tc>
              <w:tc>
                <w:tcPr>
                  <w:tcW w:w="2268" w:type="dxa"/>
                </w:tcPr>
                <w:p w:rsidR="00253AC6" w:rsidRDefault="00253AC6" w:rsidP="00253AC6">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in arrears (of all tenants of this age)</w:t>
                  </w:r>
                </w:p>
              </w:tc>
            </w:tr>
            <w:tr w:rsidR="00253AC6" w:rsidTr="0037154B">
              <w:tc>
                <w:tcPr>
                  <w:tcW w:w="2603" w:type="dxa"/>
                </w:tcPr>
                <w:p w:rsidR="00253AC6" w:rsidRPr="008F0BDD"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Under 25</w:t>
                  </w:r>
                </w:p>
              </w:tc>
              <w:tc>
                <w:tcPr>
                  <w:tcW w:w="122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141</w:t>
                  </w:r>
                </w:p>
              </w:tc>
              <w:tc>
                <w:tcPr>
                  <w:tcW w:w="198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5%</w:t>
                  </w:r>
                </w:p>
              </w:tc>
              <w:tc>
                <w:tcPr>
                  <w:tcW w:w="2268"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26%</w:t>
                  </w:r>
                </w:p>
              </w:tc>
            </w:tr>
            <w:tr w:rsidR="00253AC6" w:rsidTr="0037154B">
              <w:tc>
                <w:tcPr>
                  <w:tcW w:w="2603"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25-44</w:t>
                  </w:r>
                </w:p>
              </w:tc>
              <w:tc>
                <w:tcPr>
                  <w:tcW w:w="122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1,348</w:t>
                  </w:r>
                </w:p>
              </w:tc>
              <w:tc>
                <w:tcPr>
                  <w:tcW w:w="198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46%</w:t>
                  </w:r>
                </w:p>
              </w:tc>
              <w:tc>
                <w:tcPr>
                  <w:tcW w:w="2268"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18%</w:t>
                  </w:r>
                </w:p>
              </w:tc>
            </w:tr>
            <w:tr w:rsidR="00253AC6" w:rsidTr="0037154B">
              <w:tc>
                <w:tcPr>
                  <w:tcW w:w="2603" w:type="dxa"/>
                </w:tcPr>
                <w:p w:rsidR="00253AC6" w:rsidRDefault="00253AC6" w:rsidP="00253AC6">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45-64</w:t>
                  </w:r>
                </w:p>
              </w:tc>
              <w:tc>
                <w:tcPr>
                  <w:tcW w:w="122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1,252</w:t>
                  </w:r>
                </w:p>
              </w:tc>
              <w:tc>
                <w:tcPr>
                  <w:tcW w:w="198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43%</w:t>
                  </w:r>
                </w:p>
              </w:tc>
              <w:tc>
                <w:tcPr>
                  <w:tcW w:w="2268"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12%</w:t>
                  </w:r>
                </w:p>
              </w:tc>
            </w:tr>
            <w:tr w:rsidR="00253AC6" w:rsidTr="0037154B">
              <w:tc>
                <w:tcPr>
                  <w:tcW w:w="2603"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Over 65</w:t>
                  </w:r>
                </w:p>
              </w:tc>
              <w:tc>
                <w:tcPr>
                  <w:tcW w:w="122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158</w:t>
                  </w:r>
                </w:p>
              </w:tc>
              <w:tc>
                <w:tcPr>
                  <w:tcW w:w="198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5%</w:t>
                  </w:r>
                </w:p>
              </w:tc>
              <w:tc>
                <w:tcPr>
                  <w:tcW w:w="2268"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3%</w:t>
                  </w:r>
                </w:p>
              </w:tc>
            </w:tr>
            <w:tr w:rsidR="00253AC6" w:rsidTr="0037154B">
              <w:tc>
                <w:tcPr>
                  <w:tcW w:w="2603"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tc>
              <w:tc>
                <w:tcPr>
                  <w:tcW w:w="122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4</w:t>
                  </w:r>
                </w:p>
              </w:tc>
              <w:tc>
                <w:tcPr>
                  <w:tcW w:w="1984"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0%</w:t>
                  </w:r>
                </w:p>
              </w:tc>
              <w:tc>
                <w:tcPr>
                  <w:tcW w:w="2268" w:type="dxa"/>
                </w:tcPr>
                <w:p w:rsidR="00253AC6" w:rsidRDefault="00253AC6" w:rsidP="0037154B">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n/a</w:t>
                  </w:r>
                </w:p>
              </w:tc>
            </w:tr>
          </w:tbl>
          <w:p w:rsidR="00253AC6" w:rsidRDefault="00253AC6"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p>
          <w:p w:rsidR="00253AC6" w:rsidRDefault="00253AC6"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This shows that younger tenants (especially those under 25) are disproportionately likely to be in arrears. Older tenants (over 65) are four times less likely than the average to be in arrears. </w:t>
            </w:r>
          </w:p>
          <w:p w:rsidR="00253AC6" w:rsidRDefault="00253AC6" w:rsidP="00253AC6">
            <w:pPr>
              <w:spacing w:after="0" w:line="240" w:lineRule="auto"/>
              <w:rPr>
                <w:rFonts w:ascii="Calibri" w:eastAsia="Times New Roman" w:hAnsi="Calibri" w:cs="Times New Roman"/>
                <w:bCs/>
                <w:color w:val="000000"/>
                <w:sz w:val="24"/>
                <w:szCs w:val="24"/>
              </w:rPr>
            </w:pPr>
          </w:p>
          <w:p w:rsidR="00253AC6" w:rsidRDefault="00253AC6"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 new commitment to provide </w:t>
            </w:r>
            <w:r w:rsidR="00886710">
              <w:rPr>
                <w:rFonts w:ascii="Calibri" w:eastAsia="Times New Roman" w:hAnsi="Calibri" w:cs="Times New Roman"/>
                <w:bCs/>
                <w:color w:val="000000"/>
                <w:sz w:val="24"/>
                <w:szCs w:val="24"/>
              </w:rPr>
              <w:t xml:space="preserve">Income and Debt Strategy </w:t>
            </w:r>
            <w:r>
              <w:rPr>
                <w:rFonts w:ascii="Calibri" w:eastAsia="Times New Roman" w:hAnsi="Calibri" w:cs="Times New Roman"/>
                <w:bCs/>
                <w:color w:val="000000"/>
                <w:sz w:val="24"/>
                <w:szCs w:val="24"/>
              </w:rPr>
              <w:t>Protected Groups with more support prior to eviction proceedings (pre-eviction panels) is likely to be positive for all tenants in arrears but we cannot be conclusive about this as we cannot cross reference the data on the age of LL tenants in arrears against the Protected Group categories. We know that pensioners are specifically protected but the numbers getting into difficulty are relatively small. Finding a way of increasing the take up of debt support amongst under 25s is a specific policy challenge which is being attempted to be met by the FACE project funded by the Big Lottery with limited success.</w:t>
            </w:r>
          </w:p>
          <w:p w:rsidR="003E5D5D" w:rsidRDefault="003E5D5D" w:rsidP="00253AC6">
            <w:pPr>
              <w:spacing w:after="0" w:line="240" w:lineRule="auto"/>
              <w:rPr>
                <w:rFonts w:ascii="Calibri" w:eastAsia="Times New Roman" w:hAnsi="Calibri" w:cs="Times New Roman"/>
                <w:bCs/>
                <w:color w:val="000000"/>
                <w:sz w:val="24"/>
                <w:szCs w:val="24"/>
              </w:rPr>
            </w:pPr>
          </w:p>
          <w:p w:rsidR="006D54CE" w:rsidRDefault="006D54CE"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2% of CTS recipients are under 25, 34% are considered </w:t>
            </w:r>
            <w:r w:rsidR="000F2554">
              <w:rPr>
                <w:rFonts w:ascii="Calibri" w:eastAsia="Times New Roman" w:hAnsi="Calibri" w:cs="Times New Roman"/>
                <w:bCs/>
                <w:color w:val="000000"/>
                <w:sz w:val="24"/>
                <w:szCs w:val="24"/>
              </w:rPr>
              <w:t>of state pension age</w:t>
            </w:r>
            <w:r w:rsidR="00886710">
              <w:rPr>
                <w:rFonts w:ascii="Calibri" w:eastAsia="Times New Roman" w:hAnsi="Calibri" w:cs="Times New Roman"/>
                <w:bCs/>
                <w:color w:val="000000"/>
                <w:sz w:val="24"/>
                <w:szCs w:val="24"/>
              </w:rPr>
              <w:t xml:space="preserve"> (between 61-68)</w:t>
            </w:r>
            <w:r>
              <w:rPr>
                <w:rFonts w:ascii="Calibri" w:eastAsia="Times New Roman" w:hAnsi="Calibri" w:cs="Times New Roman"/>
                <w:bCs/>
                <w:color w:val="000000"/>
                <w:sz w:val="24"/>
                <w:szCs w:val="24"/>
              </w:rPr>
              <w:t>and 66% are listed as being of working age. The protection from bailiff action for CTS recipients will benefit these age groups in these proportions. Elderly people get more protection but are less likely to be in arrears.</w:t>
            </w:r>
          </w:p>
          <w:p w:rsidR="006D54CE" w:rsidRDefault="006D54CE" w:rsidP="00253AC6">
            <w:pPr>
              <w:spacing w:after="0" w:line="240" w:lineRule="auto"/>
              <w:rPr>
                <w:rFonts w:ascii="Calibri" w:eastAsia="Times New Roman" w:hAnsi="Calibri" w:cs="Times New Roman"/>
                <w:bCs/>
                <w:color w:val="000000"/>
                <w:sz w:val="24"/>
                <w:szCs w:val="24"/>
              </w:rPr>
            </w:pPr>
          </w:p>
          <w:p w:rsidR="003E5D5D" w:rsidRDefault="003E5D5D"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10% of all Lambeth Advice Network clients are over 65.</w:t>
            </w:r>
            <w:r w:rsidR="009F5073">
              <w:rPr>
                <w:rFonts w:ascii="Calibri" w:eastAsia="Times New Roman" w:hAnsi="Calibri" w:cs="Times New Roman"/>
                <w:bCs/>
                <w:color w:val="000000"/>
                <w:sz w:val="24"/>
                <w:szCs w:val="24"/>
              </w:rPr>
              <w:t xml:space="preserve"> It is not possible to ascertain what proportion of these clients come forward with a debt, housing or benefits need (or a combination) but the relatively high numbers suggest that improved debt support/processes are likely to be beneficial for this group.</w:t>
            </w:r>
          </w:p>
          <w:p w:rsidR="006D54CE" w:rsidRDefault="006D54CE" w:rsidP="00253AC6">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lastRenderedPageBreak/>
              <w:t>Data is not collected in this area for council tax payers who do not qualify for Council Tax Support so we cannot look at the demographics for debtors in this respect.</w:t>
            </w:r>
          </w:p>
          <w:p w:rsidR="006D54CE" w:rsidRDefault="006D54CE" w:rsidP="00253AC6">
            <w:pPr>
              <w:spacing w:after="0" w:line="240" w:lineRule="auto"/>
              <w:rPr>
                <w:rFonts w:ascii="Calibri" w:eastAsia="Times New Roman" w:hAnsi="Calibri" w:cs="Times New Roman"/>
                <w:bCs/>
                <w:color w:val="000000"/>
                <w:sz w:val="24"/>
                <w:szCs w:val="24"/>
              </w:rPr>
            </w:pPr>
          </w:p>
          <w:p w:rsidR="00D8747B" w:rsidRPr="00D8747B" w:rsidRDefault="00D8747B"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Sexual orientation</w:t>
            </w:r>
          </w:p>
        </w:tc>
        <w:tc>
          <w:tcPr>
            <w:tcW w:w="9922" w:type="dxa"/>
            <w:gridSpan w:val="2"/>
            <w:shd w:val="clear" w:color="auto" w:fill="auto"/>
          </w:tcPr>
          <w:p w:rsidR="00FC7A2D" w:rsidRDefault="00FC7A2D" w:rsidP="00FC7A2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FC7A2D" w:rsidRDefault="00FC7A2D" w:rsidP="006D54CE">
            <w:pPr>
              <w:spacing w:after="0" w:line="240" w:lineRule="auto"/>
              <w:rPr>
                <w:rFonts w:ascii="Calibri" w:eastAsia="Times New Roman" w:hAnsi="Calibri" w:cs="Times New Roman"/>
                <w:bCs/>
                <w:color w:val="000000"/>
                <w:sz w:val="24"/>
                <w:szCs w:val="24"/>
              </w:rPr>
            </w:pPr>
          </w:p>
          <w:p w:rsidR="001666FD" w:rsidRDefault="00FC7A2D"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 data which allows us to assess the impact for those residents according to their sexuality. LL records this but has a very incomplete dataset with the status unrecorded in 2,</w:t>
            </w:r>
            <w:r w:rsidR="00253AC6">
              <w:rPr>
                <w:rFonts w:ascii="Calibri" w:eastAsia="Times New Roman" w:hAnsi="Calibri" w:cs="Times New Roman"/>
                <w:bCs/>
                <w:color w:val="000000"/>
                <w:sz w:val="24"/>
                <w:szCs w:val="24"/>
              </w:rPr>
              <w:t xml:space="preserve">573 </w:t>
            </w:r>
            <w:r>
              <w:rPr>
                <w:rFonts w:ascii="Calibri" w:eastAsia="Times New Roman" w:hAnsi="Calibri" w:cs="Times New Roman"/>
                <w:bCs/>
                <w:color w:val="000000"/>
                <w:sz w:val="24"/>
                <w:szCs w:val="24"/>
              </w:rPr>
              <w:t>out of 2,903 cases.</w:t>
            </w:r>
          </w:p>
          <w:p w:rsidR="006D54CE" w:rsidRDefault="006D54CE" w:rsidP="006D54CE">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6D54CE" w:rsidRDefault="006D54CE" w:rsidP="006D54CE">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6D54CE">
            <w:pPr>
              <w:spacing w:after="0" w:line="240" w:lineRule="auto"/>
              <w:rPr>
                <w:rFonts w:ascii="Calibri" w:eastAsia="Times New Roman" w:hAnsi="Calibri" w:cs="Times New Roman"/>
                <w:bCs/>
                <w:color w:val="000000"/>
                <w:sz w:val="24"/>
                <w:szCs w:val="24"/>
              </w:rPr>
            </w:pPr>
          </w:p>
          <w:p w:rsidR="00D8747B" w:rsidRPr="00D8747B" w:rsidRDefault="00D8747B" w:rsidP="00D8747B">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Religion and belief</w:t>
            </w:r>
          </w:p>
        </w:tc>
        <w:tc>
          <w:tcPr>
            <w:tcW w:w="9922" w:type="dxa"/>
            <w:gridSpan w:val="2"/>
            <w:shd w:val="clear" w:color="auto" w:fill="auto"/>
          </w:tcPr>
          <w:p w:rsidR="00253AC6" w:rsidRDefault="00253AC6" w:rsidP="00253AC6">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253AC6" w:rsidRDefault="00253AC6" w:rsidP="00253AC6">
            <w:pPr>
              <w:spacing w:after="0" w:line="240" w:lineRule="auto"/>
              <w:rPr>
                <w:rFonts w:ascii="Calibri" w:eastAsia="Times New Roman" w:hAnsi="Calibri" w:cs="Times New Roman"/>
                <w:bCs/>
                <w:color w:val="000000"/>
                <w:sz w:val="24"/>
                <w:szCs w:val="24"/>
              </w:rPr>
            </w:pPr>
          </w:p>
          <w:p w:rsidR="001666FD" w:rsidRDefault="00253AC6" w:rsidP="003E5D5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 data which allows us to assess the impact for those residents according to their religious beliefs. LL records this but has a very incomplete dataset with the status recorded in only 19% of cases (551 out of 2,903 cases).</w:t>
            </w:r>
          </w:p>
          <w:p w:rsidR="006D54CE" w:rsidRDefault="006D54CE" w:rsidP="003E5D5D">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3E5D5D">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6D54CE" w:rsidRDefault="006D54CE" w:rsidP="003E5D5D">
            <w:pPr>
              <w:spacing w:after="0" w:line="240" w:lineRule="auto"/>
            </w:pP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Pregnancy and maternity</w:t>
            </w:r>
          </w:p>
        </w:tc>
        <w:tc>
          <w:tcPr>
            <w:tcW w:w="9922" w:type="dxa"/>
            <w:gridSpan w:val="2"/>
            <w:shd w:val="clear" w:color="auto" w:fill="auto"/>
          </w:tcPr>
          <w:p w:rsidR="001666FD" w:rsidRDefault="00253AC6" w:rsidP="00FE4B34">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253AC6" w:rsidRDefault="00253AC6" w:rsidP="00FE4B34">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 any data that pertains to this.</w:t>
            </w:r>
          </w:p>
          <w:p w:rsidR="00D8747B" w:rsidRDefault="00D8747B" w:rsidP="00D8747B">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p w:rsidR="006D54CE" w:rsidRDefault="006D54CE" w:rsidP="00D8747B">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D8747B">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6D54CE" w:rsidRPr="00D8747B" w:rsidRDefault="006D54CE" w:rsidP="00D8747B">
            <w:pPr>
              <w:spacing w:after="0" w:line="240" w:lineRule="auto"/>
              <w:rPr>
                <w:rFonts w:ascii="Calibri" w:eastAsia="Times New Roman" w:hAnsi="Calibri" w:cs="Times New Roman"/>
                <w:bCs/>
                <w:color w:val="000000"/>
                <w:sz w:val="24"/>
                <w:szCs w:val="24"/>
              </w:rPr>
            </w:pP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Marriage and civil partnership</w:t>
            </w:r>
          </w:p>
        </w:tc>
        <w:tc>
          <w:tcPr>
            <w:tcW w:w="9922" w:type="dxa"/>
            <w:gridSpan w:val="2"/>
            <w:shd w:val="clear" w:color="auto" w:fill="auto"/>
          </w:tcPr>
          <w:p w:rsidR="00253AC6" w:rsidRDefault="00253AC6" w:rsidP="00253AC6">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1666FD" w:rsidRDefault="00253AC6" w:rsidP="00253AC6">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 any data that pertains to this.</w:t>
            </w:r>
          </w:p>
          <w:p w:rsidR="00D8747B" w:rsidRDefault="00D8747B" w:rsidP="00D8747B">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p w:rsidR="006D54CE" w:rsidRDefault="006D54CE" w:rsidP="00D8747B">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D8747B">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6D54CE" w:rsidRPr="00D8747B" w:rsidRDefault="006D54CE" w:rsidP="00D8747B">
            <w:pPr>
              <w:spacing w:after="0" w:line="240" w:lineRule="auto"/>
              <w:rPr>
                <w:rFonts w:ascii="Calibri" w:eastAsia="Times New Roman" w:hAnsi="Calibri" w:cs="Times New Roman"/>
                <w:bCs/>
                <w:color w:val="000000"/>
                <w:sz w:val="24"/>
                <w:szCs w:val="24"/>
              </w:rPr>
            </w:pPr>
          </w:p>
        </w:tc>
      </w:tr>
      <w:tr w:rsidR="001666FD" w:rsidRPr="00635707" w:rsidTr="001A1633">
        <w:tc>
          <w:tcPr>
            <w:tcW w:w="3134" w:type="dxa"/>
            <w:gridSpan w:val="2"/>
            <w:shd w:val="clear" w:color="auto" w:fill="EBF0F9"/>
            <w:hideMark/>
          </w:tcPr>
          <w:p w:rsidR="001666FD" w:rsidRPr="00635707" w:rsidRDefault="001666FD" w:rsidP="00F9341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Socio-economic factors</w:t>
            </w:r>
          </w:p>
        </w:tc>
        <w:tc>
          <w:tcPr>
            <w:tcW w:w="9922" w:type="dxa"/>
            <w:gridSpan w:val="2"/>
            <w:shd w:val="clear" w:color="auto" w:fill="auto"/>
          </w:tcPr>
          <w:p w:rsidR="001666FD" w:rsidRDefault="006D54CE" w:rsidP="00FE4B34">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Unknown/Positive</w:t>
            </w: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 any specific data that pertains to this. Neither the LL nor the CTS database does not record details around this protected characteristic. However, debtors are more likely to be in lower socio economic groups and the measures in the strategy which relate to improving the accessibility of advice, pro-actively reaching out to council tax debtors and council staff working in a more joined up way when collecting/writing off debt are likely to be positive for this group.</w:t>
            </w:r>
          </w:p>
          <w:p w:rsidR="006D54CE" w:rsidRDefault="006D54CE" w:rsidP="006D54CE">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6D54CE">
            <w:pPr>
              <w:spacing w:after="0" w:line="240" w:lineRule="auto"/>
            </w:pPr>
          </w:p>
        </w:tc>
      </w:tr>
      <w:tr w:rsidR="001666FD" w:rsidRPr="00635707" w:rsidTr="001A1633">
        <w:tc>
          <w:tcPr>
            <w:tcW w:w="3134" w:type="dxa"/>
            <w:gridSpan w:val="2"/>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Language</w:t>
            </w:r>
          </w:p>
        </w:tc>
        <w:tc>
          <w:tcPr>
            <w:tcW w:w="9922" w:type="dxa"/>
            <w:gridSpan w:val="2"/>
            <w:shd w:val="clear" w:color="auto" w:fill="auto"/>
          </w:tcPr>
          <w:p w:rsidR="00DF2595" w:rsidRDefault="00DF2595" w:rsidP="00DF259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DF2595" w:rsidRDefault="00DF2595" w:rsidP="00DF2595">
            <w:pPr>
              <w:spacing w:after="0" w:line="240" w:lineRule="auto"/>
              <w:rPr>
                <w:rFonts w:ascii="Calibri" w:eastAsia="Times New Roman" w:hAnsi="Calibri" w:cs="Times New Roman"/>
                <w:bCs/>
                <w:color w:val="000000"/>
                <w:sz w:val="24"/>
                <w:szCs w:val="24"/>
              </w:rPr>
            </w:pPr>
          </w:p>
          <w:p w:rsidR="00DF2595" w:rsidRDefault="00DF2595" w:rsidP="00DF259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We do not have</w:t>
            </w:r>
            <w:r w:rsidR="006D54CE">
              <w:rPr>
                <w:rFonts w:ascii="Calibri" w:eastAsia="Times New Roman" w:hAnsi="Calibri" w:cs="Times New Roman"/>
                <w:bCs/>
                <w:color w:val="000000"/>
                <w:sz w:val="24"/>
                <w:szCs w:val="24"/>
              </w:rPr>
              <w:t xml:space="preserve"> any data that pertains to this.</w:t>
            </w:r>
          </w:p>
          <w:p w:rsidR="006D54CE" w:rsidRDefault="006D54CE" w:rsidP="00DF2595">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DF2595" w:rsidRDefault="00DF2595" w:rsidP="00DF2595">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6D54CE" w:rsidRDefault="006D54CE" w:rsidP="00DF2595">
            <w:pPr>
              <w:spacing w:after="0" w:line="240" w:lineRule="auto"/>
              <w:rPr>
                <w:rFonts w:ascii="Calibri" w:eastAsia="Times New Roman" w:hAnsi="Calibri" w:cs="Times New Roman"/>
                <w:bCs/>
                <w:color w:val="000000"/>
                <w:sz w:val="24"/>
                <w:szCs w:val="24"/>
              </w:rPr>
            </w:pPr>
          </w:p>
          <w:p w:rsidR="001666FD" w:rsidRDefault="00DF2595" w:rsidP="00DF2595">
            <w:pPr>
              <w:spacing w:after="0" w:line="240" w:lineRule="auto"/>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1666FD" w:rsidRPr="00635707" w:rsidTr="001A1633">
        <w:tc>
          <w:tcPr>
            <w:tcW w:w="3134" w:type="dxa"/>
            <w:gridSpan w:val="2"/>
            <w:shd w:val="clear" w:color="auto" w:fill="EBF0F9"/>
            <w:hideMark/>
          </w:tcPr>
          <w:p w:rsidR="001666FD" w:rsidRPr="00635707" w:rsidRDefault="001666FD" w:rsidP="00D66725">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Health</w:t>
            </w:r>
          </w:p>
        </w:tc>
        <w:tc>
          <w:tcPr>
            <w:tcW w:w="9922" w:type="dxa"/>
            <w:gridSpan w:val="2"/>
            <w:shd w:val="clear" w:color="auto" w:fill="auto"/>
          </w:tcPr>
          <w:p w:rsidR="00253AC6" w:rsidRDefault="00253AC6" w:rsidP="00D6672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Unknown</w:t>
            </w:r>
          </w:p>
          <w:p w:rsidR="00253AC6" w:rsidRDefault="00253AC6" w:rsidP="00D66725">
            <w:pPr>
              <w:spacing w:after="0" w:line="240" w:lineRule="auto"/>
              <w:rPr>
                <w:rFonts w:ascii="Calibri" w:eastAsia="Times New Roman" w:hAnsi="Calibri" w:cs="Times New Roman"/>
                <w:bCs/>
                <w:color w:val="000000"/>
                <w:sz w:val="24"/>
                <w:szCs w:val="24"/>
              </w:rPr>
            </w:pPr>
          </w:p>
          <w:p w:rsidR="001666FD" w:rsidRDefault="00253AC6" w:rsidP="00D6672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We do not have the data we need to allow us to assess the impact for </w:t>
            </w:r>
            <w:r w:rsidR="00D66725">
              <w:rPr>
                <w:rFonts w:ascii="Calibri" w:eastAsia="Times New Roman" w:hAnsi="Calibri" w:cs="Times New Roman"/>
                <w:bCs/>
                <w:color w:val="000000"/>
                <w:sz w:val="24"/>
                <w:szCs w:val="24"/>
              </w:rPr>
              <w:t>r</w:t>
            </w:r>
            <w:r>
              <w:rPr>
                <w:rFonts w:ascii="Calibri" w:eastAsia="Times New Roman" w:hAnsi="Calibri" w:cs="Times New Roman"/>
                <w:bCs/>
                <w:color w:val="000000"/>
                <w:sz w:val="24"/>
                <w:szCs w:val="24"/>
              </w:rPr>
              <w:t>esidents according to their health. LL records this but has a v</w:t>
            </w:r>
            <w:r w:rsidR="00D66725">
              <w:rPr>
                <w:rFonts w:ascii="Calibri" w:eastAsia="Times New Roman" w:hAnsi="Calibri" w:cs="Times New Roman"/>
                <w:bCs/>
                <w:color w:val="000000"/>
                <w:sz w:val="24"/>
                <w:szCs w:val="24"/>
              </w:rPr>
              <w:t>ery incomplete dataset with health status mixed in with a vulnerability status that is drawn much more widely in accordance with a local vulnerability policy. A he</w:t>
            </w:r>
            <w:r w:rsidR="00DF2595">
              <w:rPr>
                <w:rFonts w:ascii="Calibri" w:eastAsia="Times New Roman" w:hAnsi="Calibri" w:cs="Times New Roman"/>
                <w:bCs/>
                <w:color w:val="000000"/>
                <w:sz w:val="24"/>
                <w:szCs w:val="24"/>
              </w:rPr>
              <w:t>alth or vulnerability need is o</w:t>
            </w:r>
            <w:r w:rsidR="00D66725">
              <w:rPr>
                <w:rFonts w:ascii="Calibri" w:eastAsia="Times New Roman" w:hAnsi="Calibri" w:cs="Times New Roman"/>
                <w:bCs/>
                <w:color w:val="000000"/>
                <w:sz w:val="24"/>
                <w:szCs w:val="24"/>
              </w:rPr>
              <w:t xml:space="preserve">nly recorded in 134 out of the 2,903 </w:t>
            </w:r>
            <w:r w:rsidR="007F09A8">
              <w:rPr>
                <w:rFonts w:ascii="Calibri" w:eastAsia="Times New Roman" w:hAnsi="Calibri" w:cs="Times New Roman"/>
                <w:bCs/>
                <w:color w:val="000000"/>
                <w:sz w:val="24"/>
                <w:szCs w:val="24"/>
              </w:rPr>
              <w:t>cases</w:t>
            </w:r>
            <w:r w:rsidR="00D66725">
              <w:rPr>
                <w:rFonts w:ascii="Calibri" w:eastAsia="Times New Roman" w:hAnsi="Calibri" w:cs="Times New Roman"/>
                <w:bCs/>
                <w:color w:val="000000"/>
                <w:sz w:val="24"/>
                <w:szCs w:val="24"/>
              </w:rPr>
              <w:t xml:space="preserve"> of tenants in arrears of more than £600. A record of disability benefits cross referenced to arrears is not kept as DLA/PIP are benefits which do not affect HB/CTS entitlement and the tenant is therefore not obligated to report them.</w:t>
            </w:r>
          </w:p>
          <w:p w:rsidR="006D54CE" w:rsidRDefault="006D54CE" w:rsidP="00D66725">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CTS database does not record details around this protected characteristic.</w:t>
            </w:r>
          </w:p>
          <w:p w:rsidR="00DF2595" w:rsidRDefault="00DF2595" w:rsidP="00D66725">
            <w:pPr>
              <w:spacing w:after="0" w:line="240" w:lineRule="auto"/>
              <w:rPr>
                <w:rFonts w:ascii="Calibri" w:eastAsia="Times New Roman" w:hAnsi="Calibri" w:cs="Times New Roman"/>
                <w:bCs/>
                <w:color w:val="000000"/>
                <w:sz w:val="24"/>
                <w:szCs w:val="24"/>
              </w:rPr>
            </w:pPr>
          </w:p>
          <w:p w:rsidR="003E5D5D" w:rsidRDefault="003E5D5D" w:rsidP="00D6672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One third of all Lambeth Advice Network clients have a health or disability need. It is not possible to ascertain what proportion of these clients come forward with a debt, housing or benefits need (or a combination) but the high numbers suggest that improved debt support/processes are likely to be beneficial for this group. </w:t>
            </w:r>
          </w:p>
          <w:p w:rsidR="006D54CE" w:rsidRDefault="006D54CE" w:rsidP="00D66725">
            <w:pPr>
              <w:spacing w:after="0" w:line="240" w:lineRule="auto"/>
              <w:rPr>
                <w:rFonts w:ascii="Calibri" w:eastAsia="Times New Roman" w:hAnsi="Calibri" w:cs="Times New Roman"/>
                <w:bCs/>
                <w:color w:val="000000"/>
                <w:sz w:val="24"/>
                <w:szCs w:val="24"/>
              </w:rPr>
            </w:pPr>
          </w:p>
          <w:p w:rsidR="006D54CE" w:rsidRDefault="006D54CE" w:rsidP="006D54C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Data is not collected in this area for council tax payers who do not qualify for Council Tax Support so we cannot look at the demographics for debtors in this respect.</w:t>
            </w:r>
          </w:p>
          <w:p w:rsidR="003E5D5D" w:rsidRDefault="003E5D5D" w:rsidP="00D66725">
            <w:pPr>
              <w:spacing w:after="0" w:line="240" w:lineRule="auto"/>
              <w:rPr>
                <w:rFonts w:ascii="Calibri" w:eastAsia="Times New Roman" w:hAnsi="Calibri" w:cs="Times New Roman"/>
                <w:bCs/>
                <w:color w:val="000000"/>
                <w:sz w:val="24"/>
                <w:szCs w:val="24"/>
              </w:rPr>
            </w:pPr>
          </w:p>
          <w:p w:rsidR="00DF2595" w:rsidRDefault="00DF2595" w:rsidP="00DF2595">
            <w:pPr>
              <w:spacing w:after="0" w:line="240" w:lineRule="auto"/>
            </w:pPr>
            <w:r>
              <w:rPr>
                <w:rFonts w:ascii="Calibri" w:eastAsia="Times New Roman" w:hAnsi="Calibri" w:cs="Times New Roman"/>
                <w:bCs/>
                <w:color w:val="000000"/>
                <w:sz w:val="24"/>
                <w:szCs w:val="24"/>
              </w:rPr>
              <w:t>The measures in the strategy which relate to improving the accessibility of advice, pro-actively reaching out to council tax debtors and council staff working in a more joined up way when collecting/writing off debt are likely to be positive for all equalities’ groups.</w:t>
            </w:r>
          </w:p>
        </w:tc>
      </w:tr>
      <w:tr w:rsidR="00F914F0" w:rsidRPr="00635707" w:rsidTr="001A1633">
        <w:trPr>
          <w:trHeight w:val="684"/>
        </w:trPr>
        <w:tc>
          <w:tcPr>
            <w:tcW w:w="3134" w:type="dxa"/>
            <w:gridSpan w:val="2"/>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2.2 Gaps in evidence base</w:t>
            </w:r>
          </w:p>
          <w:p w:rsidR="001666FD" w:rsidRDefault="00F914F0" w:rsidP="001666F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What gaps in information have you identified from your analysis? In your response please identify areas where more information is required and how</w:t>
            </w:r>
            <w:r>
              <w:rPr>
                <w:rFonts w:ascii="Calibri" w:eastAsia="Times New Roman" w:hAnsi="Calibri" w:cs="Times New Roman"/>
                <w:i/>
                <w:iCs/>
                <w:color w:val="000000"/>
                <w:sz w:val="24"/>
                <w:szCs w:val="24"/>
              </w:rPr>
              <w:t xml:space="preserve"> you intend to fill in the gaps. If you are unable to fill in the gaps please state this clearly with justification.</w:t>
            </w:r>
          </w:p>
          <w:p w:rsidR="00354DB6" w:rsidRDefault="00354DB6" w:rsidP="001666FD">
            <w:pPr>
              <w:spacing w:after="0" w:line="240" w:lineRule="auto"/>
              <w:rPr>
                <w:rFonts w:ascii="Calibri" w:eastAsia="Times New Roman" w:hAnsi="Calibri" w:cs="Times New Roman"/>
                <w:i/>
                <w:iCs/>
                <w:color w:val="000000"/>
                <w:sz w:val="24"/>
                <w:szCs w:val="24"/>
              </w:rPr>
            </w:pPr>
          </w:p>
          <w:p w:rsidR="00354DB6" w:rsidRPr="00635707" w:rsidRDefault="00354DB6" w:rsidP="001666FD">
            <w:pPr>
              <w:spacing w:after="0" w:line="240" w:lineRule="auto"/>
              <w:rPr>
                <w:rFonts w:ascii="Verdana" w:eastAsia="Times New Roman" w:hAnsi="Verdana" w:cs="Times New Roman"/>
                <w:color w:val="000000"/>
                <w:sz w:val="20"/>
                <w:szCs w:val="20"/>
              </w:rPr>
            </w:pPr>
          </w:p>
        </w:tc>
        <w:tc>
          <w:tcPr>
            <w:tcW w:w="9922" w:type="dxa"/>
            <w:gridSpan w:val="2"/>
            <w:shd w:val="clear" w:color="auto" w:fill="auto"/>
          </w:tcPr>
          <w:p w:rsidR="00DF2595" w:rsidRDefault="00DF2595" w:rsidP="00DF2595">
            <w:pPr>
              <w:spacing w:after="0" w:line="240" w:lineRule="auto"/>
              <w:rPr>
                <w:rFonts w:ascii="Calibri" w:eastAsia="Times New Roman" w:hAnsi="Calibri" w:cs="Times New Roman"/>
                <w:bCs/>
                <w:color w:val="000000"/>
                <w:sz w:val="24"/>
                <w:szCs w:val="24"/>
              </w:rPr>
            </w:pPr>
            <w:r w:rsidRPr="00DF2595">
              <w:rPr>
                <w:rFonts w:ascii="Calibri" w:eastAsia="Times New Roman" w:hAnsi="Calibri" w:cs="Times New Roman"/>
                <w:bCs/>
                <w:color w:val="000000"/>
                <w:sz w:val="24"/>
                <w:szCs w:val="24"/>
              </w:rPr>
              <w:t xml:space="preserve">There are significant gaps in data </w:t>
            </w:r>
            <w:r>
              <w:rPr>
                <w:rFonts w:ascii="Calibri" w:eastAsia="Times New Roman" w:hAnsi="Calibri" w:cs="Times New Roman"/>
                <w:bCs/>
                <w:color w:val="000000"/>
                <w:sz w:val="24"/>
                <w:szCs w:val="24"/>
              </w:rPr>
              <w:t xml:space="preserve">around debtors </w:t>
            </w:r>
            <w:r w:rsidRPr="00DF2595">
              <w:rPr>
                <w:rFonts w:ascii="Calibri" w:eastAsia="Times New Roman" w:hAnsi="Calibri" w:cs="Times New Roman"/>
                <w:bCs/>
                <w:color w:val="000000"/>
                <w:sz w:val="24"/>
                <w:szCs w:val="24"/>
              </w:rPr>
              <w:t xml:space="preserve">which the new strategy seeks to address as a core </w:t>
            </w:r>
            <w:r>
              <w:rPr>
                <w:rFonts w:ascii="Calibri" w:eastAsia="Times New Roman" w:hAnsi="Calibri" w:cs="Times New Roman"/>
                <w:bCs/>
                <w:color w:val="000000"/>
                <w:sz w:val="24"/>
                <w:szCs w:val="24"/>
              </w:rPr>
              <w:t xml:space="preserve">activity. </w:t>
            </w:r>
            <w:r w:rsidR="007F09A8">
              <w:rPr>
                <w:rFonts w:ascii="Calibri" w:eastAsia="Times New Roman" w:hAnsi="Calibri" w:cs="Times New Roman"/>
                <w:bCs/>
                <w:color w:val="000000"/>
                <w:sz w:val="24"/>
                <w:szCs w:val="24"/>
              </w:rPr>
              <w:t>This will require all key partners to look at what is being collected and better cross reference/pull across data from other systems to create a more complete picture. Some of this work will be necessary in order to meet the new requirement to protect vulnerabl</w:t>
            </w:r>
            <w:r w:rsidR="003E5D5D">
              <w:rPr>
                <w:rFonts w:ascii="Calibri" w:eastAsia="Times New Roman" w:hAnsi="Calibri" w:cs="Times New Roman"/>
                <w:bCs/>
                <w:color w:val="000000"/>
                <w:sz w:val="24"/>
                <w:szCs w:val="24"/>
              </w:rPr>
              <w:t>e groups from bailiff action.</w:t>
            </w:r>
          </w:p>
          <w:p w:rsidR="00DF2595" w:rsidRDefault="00DF2595" w:rsidP="00DF2595">
            <w:pPr>
              <w:spacing w:after="0" w:line="240" w:lineRule="auto"/>
              <w:rPr>
                <w:rFonts w:ascii="Calibri" w:eastAsia="Times New Roman" w:hAnsi="Calibri" w:cs="Times New Roman"/>
                <w:bCs/>
                <w:color w:val="000000"/>
                <w:sz w:val="24"/>
                <w:szCs w:val="24"/>
              </w:rPr>
            </w:pPr>
          </w:p>
          <w:p w:rsidR="00F914F0" w:rsidRDefault="00DF2595" w:rsidP="00DF259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The situation is likely to be further improved by the intended process of streamlining and joining up financial assessments across the council as this will, in theory, ensure that data around social care needs, disability benefits and core benefits such as HB and CTS</w:t>
            </w:r>
            <w:r w:rsidRPr="00DF2595">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is better recorded and shared. </w:t>
            </w:r>
          </w:p>
          <w:p w:rsidR="00DF2595" w:rsidRDefault="00DF2595" w:rsidP="00DF2595">
            <w:pPr>
              <w:spacing w:after="0" w:line="240" w:lineRule="auto"/>
              <w:rPr>
                <w:rFonts w:ascii="Calibri" w:eastAsia="Times New Roman" w:hAnsi="Calibri" w:cs="Times New Roman"/>
                <w:bCs/>
                <w:color w:val="000000"/>
                <w:sz w:val="24"/>
                <w:szCs w:val="24"/>
              </w:rPr>
            </w:pPr>
          </w:p>
          <w:p w:rsidR="00DF2595" w:rsidRDefault="00DF2595" w:rsidP="00DF259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There is likely to be an on-going problem accessing data for all the protected </w:t>
            </w:r>
            <w:r w:rsidR="007F09A8">
              <w:rPr>
                <w:rFonts w:ascii="Calibri" w:eastAsia="Times New Roman" w:hAnsi="Calibri" w:cs="Times New Roman"/>
                <w:bCs/>
                <w:color w:val="000000"/>
                <w:sz w:val="24"/>
                <w:szCs w:val="24"/>
              </w:rPr>
              <w:t>characteristics</w:t>
            </w:r>
            <w:r>
              <w:rPr>
                <w:rFonts w:ascii="Calibri" w:eastAsia="Times New Roman" w:hAnsi="Calibri" w:cs="Times New Roman"/>
                <w:bCs/>
                <w:color w:val="000000"/>
                <w:sz w:val="24"/>
                <w:szCs w:val="24"/>
              </w:rPr>
              <w:t xml:space="preserve"> relating to residents willingness to share personal data (like sexuality, religious beliefs) but some of the missing information (about marital or maternity status) could be gathered if the systems were set up to record and cross reference this information. </w:t>
            </w:r>
          </w:p>
          <w:p w:rsidR="00DF2595" w:rsidRDefault="00DF2595" w:rsidP="00DF2595">
            <w:pPr>
              <w:spacing w:after="0" w:line="240" w:lineRule="auto"/>
              <w:rPr>
                <w:rFonts w:ascii="Calibri" w:eastAsia="Times New Roman" w:hAnsi="Calibri" w:cs="Times New Roman"/>
                <w:bCs/>
                <w:color w:val="000000"/>
                <w:sz w:val="24"/>
                <w:szCs w:val="24"/>
              </w:rPr>
            </w:pPr>
          </w:p>
          <w:p w:rsidR="00DF2595" w:rsidRDefault="00DF2595" w:rsidP="00DF259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Language needs is a further challenge – it is important in the context of debt recovery and prevention as so much of the communication we have with debtors is written (and in English as a default). Work needs to be done in this area to consider the needs and whether certain groups are disadvantaged in this respect. The same is true for those who have a sight impairment which may mean that written communication about income/debt (in print or online) is not effective. Again, data in this regard is not routinely collected/recorded so the service cannot be adapted as necessary.</w:t>
            </w:r>
          </w:p>
          <w:p w:rsidR="007F09A8" w:rsidRDefault="007F09A8" w:rsidP="00DF2595">
            <w:pPr>
              <w:spacing w:after="0" w:line="240" w:lineRule="auto"/>
              <w:rPr>
                <w:rFonts w:ascii="Calibri" w:eastAsia="Times New Roman" w:hAnsi="Calibri" w:cs="Times New Roman"/>
                <w:bCs/>
                <w:color w:val="000000"/>
                <w:sz w:val="24"/>
                <w:szCs w:val="24"/>
              </w:rPr>
            </w:pPr>
          </w:p>
          <w:p w:rsidR="003E5D5D" w:rsidRPr="00DF2595" w:rsidRDefault="007F09A8" w:rsidP="009F5073">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Services providing advice interventions around debt are being asked (from 1.4.15) to record better information about language needs. They already collect service user demographics in the main equalities areas (age, race, gender, health/disability) but this new data is likely to create more </w:t>
            </w:r>
            <w:r>
              <w:rPr>
                <w:rFonts w:ascii="Calibri" w:eastAsia="Times New Roman" w:hAnsi="Calibri" w:cs="Times New Roman"/>
                <w:bCs/>
                <w:color w:val="000000"/>
                <w:sz w:val="24"/>
                <w:szCs w:val="24"/>
              </w:rPr>
              <w:lastRenderedPageBreak/>
              <w:t xml:space="preserve">questions than answers as, without a borough-wide baseline which tells us the proportion of debtors who fall into each equalities group, we cannot assess whether debt support is being taken up proportionately and therefore whether our interventions are </w:t>
            </w:r>
            <w:r w:rsidR="00452433">
              <w:rPr>
                <w:rFonts w:ascii="Calibri" w:eastAsia="Times New Roman" w:hAnsi="Calibri" w:cs="Times New Roman"/>
                <w:bCs/>
                <w:color w:val="000000"/>
                <w:sz w:val="24"/>
                <w:szCs w:val="24"/>
              </w:rPr>
              <w:t>reaching</w:t>
            </w:r>
            <w:r>
              <w:rPr>
                <w:rFonts w:ascii="Calibri" w:eastAsia="Times New Roman" w:hAnsi="Calibri" w:cs="Times New Roman"/>
                <w:bCs/>
                <w:color w:val="000000"/>
                <w:sz w:val="24"/>
                <w:szCs w:val="24"/>
              </w:rPr>
              <w:t xml:space="preserve"> the most in need.</w:t>
            </w:r>
          </w:p>
        </w:tc>
      </w:tr>
      <w:tr w:rsidR="00D320BF" w:rsidRPr="00431911" w:rsidTr="00C43BB0">
        <w:tc>
          <w:tcPr>
            <w:tcW w:w="13056" w:type="dxa"/>
            <w:gridSpan w:val="4"/>
            <w:shd w:val="clear" w:color="auto" w:fill="517DBF"/>
            <w:hideMark/>
          </w:tcPr>
          <w:p w:rsidR="00D320BF" w:rsidRPr="00431911" w:rsidRDefault="00D320BF" w:rsidP="00FE4B34">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 xml:space="preserve">3.0 Consultation, </w:t>
            </w:r>
            <w:r w:rsidR="00FE4B34">
              <w:rPr>
                <w:rFonts w:ascii="Calibri" w:eastAsia="Times New Roman" w:hAnsi="Calibri" w:cs="Times New Roman"/>
                <w:b/>
                <w:bCs/>
                <w:color w:val="FFFFFF" w:themeColor="background1"/>
                <w:sz w:val="28"/>
                <w:szCs w:val="28"/>
              </w:rPr>
              <w:t>Involvement</w:t>
            </w:r>
            <w:r w:rsidR="00FE35FB">
              <w:rPr>
                <w:rFonts w:ascii="Calibri" w:eastAsia="Times New Roman" w:hAnsi="Calibri" w:cs="Times New Roman"/>
                <w:b/>
                <w:bCs/>
                <w:color w:val="FFFFFF" w:themeColor="background1"/>
                <w:sz w:val="28"/>
                <w:szCs w:val="28"/>
              </w:rPr>
              <w:t xml:space="preserve"> and Co</w:t>
            </w:r>
            <w:r w:rsidRPr="00431911">
              <w:rPr>
                <w:rFonts w:ascii="Calibri" w:eastAsia="Times New Roman" w:hAnsi="Calibri" w:cs="Times New Roman"/>
                <w:b/>
                <w:bCs/>
                <w:color w:val="FFFFFF" w:themeColor="background1"/>
                <w:sz w:val="28"/>
                <w:szCs w:val="28"/>
              </w:rPr>
              <w:t>production</w:t>
            </w:r>
          </w:p>
        </w:tc>
      </w:tr>
      <w:tr w:rsidR="00F914F0" w:rsidRPr="00635707" w:rsidTr="00C43BB0">
        <w:tc>
          <w:tcPr>
            <w:tcW w:w="3984" w:type="dxa"/>
            <w:gridSpan w:val="3"/>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3.1 </w:t>
            </w:r>
            <w:r w:rsidR="00FE4B34">
              <w:rPr>
                <w:rFonts w:ascii="Calibri" w:eastAsia="Times New Roman" w:hAnsi="Calibri" w:cs="Times New Roman"/>
                <w:b/>
                <w:bCs/>
                <w:color w:val="000000"/>
                <w:sz w:val="24"/>
                <w:szCs w:val="24"/>
              </w:rPr>
              <w:t xml:space="preserve">Coproduction, involvement </w:t>
            </w:r>
            <w:r w:rsidRPr="00635707">
              <w:rPr>
                <w:rFonts w:ascii="Calibri" w:eastAsia="Times New Roman" w:hAnsi="Calibri" w:cs="Times New Roman"/>
                <w:b/>
                <w:bCs/>
                <w:color w:val="000000"/>
                <w:sz w:val="24"/>
                <w:szCs w:val="24"/>
              </w:rPr>
              <w:t xml:space="preserve">and consultation </w:t>
            </w:r>
          </w:p>
          <w:p w:rsidR="00F914F0" w:rsidRDefault="00F914F0" w:rsidP="00F9341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Who are your key stakeholders and how have you consulted</w:t>
            </w:r>
            <w:r w:rsidR="00FE4B34">
              <w:rPr>
                <w:rFonts w:ascii="Calibri" w:eastAsia="Times New Roman" w:hAnsi="Calibri" w:cs="Times New Roman"/>
                <w:i/>
                <w:iCs/>
                <w:color w:val="000000"/>
                <w:sz w:val="24"/>
                <w:szCs w:val="24"/>
              </w:rPr>
              <w:t>, co</w:t>
            </w:r>
            <w:r>
              <w:rPr>
                <w:rFonts w:ascii="Calibri" w:eastAsia="Times New Roman" w:hAnsi="Calibri" w:cs="Times New Roman"/>
                <w:i/>
                <w:iCs/>
                <w:color w:val="000000"/>
                <w:sz w:val="24"/>
                <w:szCs w:val="24"/>
              </w:rPr>
              <w:t>produced 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involved</w:t>
            </w:r>
            <w:r w:rsidRPr="00635707">
              <w:rPr>
                <w:rFonts w:ascii="Calibri" w:eastAsia="Times New Roman" w:hAnsi="Calibri" w:cs="Times New Roman"/>
                <w:i/>
                <w:iCs/>
                <w:color w:val="000000"/>
                <w:sz w:val="24"/>
                <w:szCs w:val="24"/>
              </w:rPr>
              <w:t xml:space="preserve"> them?</w:t>
            </w:r>
            <w:r>
              <w:rPr>
                <w:rFonts w:ascii="Calibri" w:eastAsia="Times New Roman" w:hAnsi="Calibri" w:cs="Times New Roman"/>
                <w:i/>
                <w:iCs/>
                <w:color w:val="000000"/>
                <w:sz w:val="24"/>
                <w:szCs w:val="24"/>
              </w:rPr>
              <w:t xml:space="preserve"> What difference did this make?</w:t>
            </w:r>
          </w:p>
          <w:p w:rsidR="001666FD" w:rsidRDefault="001666FD" w:rsidP="00F9341D">
            <w:pPr>
              <w:spacing w:after="0" w:line="240" w:lineRule="auto"/>
              <w:rPr>
                <w:rFonts w:ascii="Calibri" w:eastAsia="Times New Roman" w:hAnsi="Calibri" w:cs="Times New Roman"/>
                <w:i/>
                <w:iCs/>
                <w:color w:val="000000"/>
                <w:sz w:val="24"/>
                <w:szCs w:val="24"/>
              </w:rPr>
            </w:pPr>
          </w:p>
          <w:p w:rsidR="00F9341D" w:rsidRPr="003F50AD" w:rsidRDefault="00F9341D" w:rsidP="00F9341D">
            <w:pPr>
              <w:spacing w:after="0" w:line="240" w:lineRule="auto"/>
              <w:rPr>
                <w:rFonts w:ascii="Arial" w:eastAsia="Times New Roman" w:hAnsi="Arial" w:cs="Arial"/>
                <w:color w:val="000000"/>
              </w:rPr>
            </w:pPr>
          </w:p>
        </w:tc>
        <w:tc>
          <w:tcPr>
            <w:tcW w:w="9072" w:type="dxa"/>
            <w:shd w:val="clear" w:color="auto" w:fill="auto"/>
          </w:tcPr>
          <w:p w:rsidR="00DF2595" w:rsidRDefault="00DF2595" w:rsidP="007F09A8">
            <w:pPr>
              <w:spacing w:after="0" w:line="240" w:lineRule="auto"/>
              <w:rPr>
                <w:rFonts w:cs="Arial"/>
                <w:sz w:val="24"/>
                <w:szCs w:val="24"/>
              </w:rPr>
            </w:pPr>
            <w:r w:rsidRPr="00DF2595">
              <w:rPr>
                <w:rFonts w:ascii="Calibri" w:eastAsia="Times New Roman" w:hAnsi="Calibri" w:cs="Times New Roman"/>
                <w:bCs/>
                <w:color w:val="000000"/>
                <w:sz w:val="24"/>
                <w:szCs w:val="24"/>
              </w:rPr>
              <w:t>The strategy has been de</w:t>
            </w:r>
            <w:r>
              <w:rPr>
                <w:rFonts w:ascii="Calibri" w:eastAsia="Times New Roman" w:hAnsi="Calibri" w:cs="Times New Roman"/>
                <w:bCs/>
                <w:color w:val="000000"/>
                <w:sz w:val="24"/>
                <w:szCs w:val="24"/>
              </w:rPr>
              <w:t xml:space="preserve">veloped with the involvement of </w:t>
            </w:r>
            <w:r w:rsidRPr="00DF2595">
              <w:rPr>
                <w:rFonts w:cs="Arial"/>
                <w:sz w:val="24"/>
                <w:szCs w:val="24"/>
              </w:rPr>
              <w:t>debt advice providers, landlords, partners, businesses</w:t>
            </w:r>
            <w:r>
              <w:rPr>
                <w:rFonts w:cs="Arial"/>
                <w:sz w:val="24"/>
                <w:szCs w:val="24"/>
              </w:rPr>
              <w:t>, c</w:t>
            </w:r>
            <w:r w:rsidRPr="00DF2595">
              <w:rPr>
                <w:rFonts w:cs="Arial"/>
                <w:sz w:val="24"/>
                <w:szCs w:val="24"/>
              </w:rPr>
              <w:t>ouncillors</w:t>
            </w:r>
            <w:r>
              <w:rPr>
                <w:rFonts w:cs="Arial"/>
                <w:sz w:val="24"/>
                <w:szCs w:val="24"/>
              </w:rPr>
              <w:t xml:space="preserve"> and residents</w:t>
            </w:r>
            <w:r w:rsidRPr="00DF2595">
              <w:rPr>
                <w:rFonts w:cs="Arial"/>
                <w:sz w:val="24"/>
                <w:szCs w:val="24"/>
              </w:rPr>
              <w:t>. Specifically, officers have:</w:t>
            </w:r>
          </w:p>
          <w:p w:rsidR="007F09A8" w:rsidRDefault="007F09A8" w:rsidP="007F09A8">
            <w:pPr>
              <w:spacing w:after="0" w:line="240" w:lineRule="auto"/>
              <w:rPr>
                <w:rFonts w:cs="Arial"/>
                <w:sz w:val="24"/>
                <w:szCs w:val="24"/>
              </w:rPr>
            </w:pPr>
          </w:p>
          <w:p w:rsidR="00DF2595" w:rsidRPr="00DF2595" w:rsidRDefault="00DF2595" w:rsidP="007F09A8">
            <w:pPr>
              <w:pStyle w:val="ListParagraph"/>
              <w:numPr>
                <w:ilvl w:val="0"/>
                <w:numId w:val="4"/>
              </w:numPr>
              <w:spacing w:after="0" w:line="240" w:lineRule="auto"/>
              <w:ind w:left="694" w:hanging="425"/>
              <w:jc w:val="both"/>
              <w:rPr>
                <w:rFonts w:cs="Arial"/>
                <w:sz w:val="24"/>
                <w:szCs w:val="24"/>
              </w:rPr>
            </w:pPr>
            <w:r w:rsidRPr="00DF2595">
              <w:rPr>
                <w:rFonts w:cs="Arial"/>
                <w:sz w:val="24"/>
                <w:szCs w:val="24"/>
              </w:rPr>
              <w:t>Qualitatively interviewed 100 multiple debtors about their experiences of being in debt, being dealt with by the council and how they might want to access advice and preventative support in future</w:t>
            </w:r>
          </w:p>
          <w:p w:rsidR="00DF2595" w:rsidRPr="00DF2595" w:rsidRDefault="00DF2595" w:rsidP="007F09A8">
            <w:pPr>
              <w:pStyle w:val="ListParagraph"/>
              <w:numPr>
                <w:ilvl w:val="0"/>
                <w:numId w:val="4"/>
              </w:numPr>
              <w:spacing w:after="0" w:line="240" w:lineRule="auto"/>
              <w:ind w:left="694" w:hanging="425"/>
              <w:jc w:val="both"/>
              <w:rPr>
                <w:rFonts w:cs="Arial"/>
                <w:sz w:val="24"/>
                <w:szCs w:val="24"/>
              </w:rPr>
            </w:pPr>
            <w:r w:rsidRPr="00DF2595">
              <w:rPr>
                <w:rFonts w:cs="Arial"/>
                <w:sz w:val="24"/>
                <w:szCs w:val="24"/>
              </w:rPr>
              <w:t>Reviewed the strategy with the main debt advice providers in the borough</w:t>
            </w:r>
          </w:p>
          <w:p w:rsidR="00DF2595" w:rsidRPr="00DF2595" w:rsidRDefault="00DF2595" w:rsidP="007F09A8">
            <w:pPr>
              <w:pStyle w:val="ListParagraph"/>
              <w:numPr>
                <w:ilvl w:val="0"/>
                <w:numId w:val="4"/>
              </w:numPr>
              <w:spacing w:after="0" w:line="240" w:lineRule="auto"/>
              <w:ind w:left="694" w:hanging="425"/>
              <w:jc w:val="both"/>
              <w:rPr>
                <w:rFonts w:cs="Arial"/>
                <w:sz w:val="24"/>
                <w:szCs w:val="24"/>
              </w:rPr>
            </w:pPr>
            <w:r w:rsidRPr="00DF2595">
              <w:rPr>
                <w:rFonts w:cs="Arial"/>
                <w:sz w:val="24"/>
                <w:szCs w:val="24"/>
              </w:rPr>
              <w:t>Reviewed the strategy with ward councillors at a well attended “drill down” session chaired by the Cabinet Lead for Finance and Investment</w:t>
            </w:r>
          </w:p>
          <w:p w:rsidR="00DF2595" w:rsidRPr="00DF2595" w:rsidRDefault="00DF2595" w:rsidP="007F09A8">
            <w:pPr>
              <w:pStyle w:val="ListParagraph"/>
              <w:numPr>
                <w:ilvl w:val="0"/>
                <w:numId w:val="4"/>
              </w:numPr>
              <w:spacing w:after="0" w:line="240" w:lineRule="auto"/>
              <w:ind w:left="694" w:hanging="425"/>
              <w:jc w:val="both"/>
              <w:rPr>
                <w:rFonts w:cs="Arial"/>
                <w:sz w:val="24"/>
                <w:szCs w:val="24"/>
              </w:rPr>
            </w:pPr>
            <w:r w:rsidRPr="00DF2595">
              <w:rPr>
                <w:rFonts w:cs="Arial"/>
                <w:sz w:val="24"/>
                <w:szCs w:val="24"/>
              </w:rPr>
              <w:t>Discussed the issue of tackling problematic debt and what the priorities for a council strategy would be with partners in the Financial Resilience stakeholder group</w:t>
            </w:r>
          </w:p>
          <w:p w:rsidR="00DF2595" w:rsidRPr="00DF2595" w:rsidRDefault="00DF2595" w:rsidP="007F09A8">
            <w:pPr>
              <w:pStyle w:val="ListParagraph"/>
              <w:numPr>
                <w:ilvl w:val="0"/>
                <w:numId w:val="4"/>
              </w:numPr>
              <w:spacing w:after="0" w:line="240" w:lineRule="auto"/>
              <w:ind w:left="694" w:hanging="425"/>
              <w:rPr>
                <w:rFonts w:cs="Arial"/>
                <w:sz w:val="24"/>
                <w:szCs w:val="24"/>
              </w:rPr>
            </w:pPr>
            <w:r w:rsidRPr="00DF2595">
              <w:rPr>
                <w:rFonts w:cs="Arial"/>
                <w:sz w:val="24"/>
                <w:szCs w:val="24"/>
              </w:rPr>
              <w:t xml:space="preserve">Held a national debt conference at Coin Street in July 2014 with over 80 attendees – including all the main national debt charities and Demos. The conference used plenary sessions and workshops to look at the reasons for debt, the barriers to accessing debt advice, how problematic debt can be prevented, how creditors like local authorities and other landlords can manage debt and income collection better to prevent problematic debt and share potential solutions and best practice.  </w:t>
            </w:r>
          </w:p>
          <w:p w:rsidR="00DF2595" w:rsidRPr="00DF2595" w:rsidRDefault="00DF2595" w:rsidP="007F09A8">
            <w:pPr>
              <w:pStyle w:val="ListParagraph"/>
              <w:numPr>
                <w:ilvl w:val="0"/>
                <w:numId w:val="4"/>
              </w:numPr>
              <w:spacing w:after="0" w:line="240" w:lineRule="auto"/>
              <w:ind w:left="694" w:hanging="425"/>
              <w:rPr>
                <w:rFonts w:cs="Arial"/>
                <w:sz w:val="24"/>
                <w:szCs w:val="24"/>
              </w:rPr>
            </w:pPr>
            <w:r w:rsidRPr="00DF2595">
              <w:rPr>
                <w:rFonts w:cs="Arial"/>
                <w:sz w:val="24"/>
                <w:szCs w:val="24"/>
              </w:rPr>
              <w:t>Ensured that relevant delivery, commissioning and enabling colleagues have been brought together to formulate the strategy and revise the manual that underpins it</w:t>
            </w:r>
          </w:p>
          <w:p w:rsidR="00DF2595" w:rsidRPr="00DF2595" w:rsidRDefault="00DF2595" w:rsidP="007F09A8">
            <w:pPr>
              <w:pStyle w:val="ListParagraph"/>
              <w:numPr>
                <w:ilvl w:val="0"/>
                <w:numId w:val="4"/>
              </w:numPr>
              <w:spacing w:after="0" w:line="240" w:lineRule="auto"/>
              <w:ind w:left="694" w:hanging="425"/>
              <w:rPr>
                <w:rFonts w:cs="Arial"/>
                <w:sz w:val="24"/>
                <w:szCs w:val="24"/>
              </w:rPr>
            </w:pPr>
            <w:r w:rsidRPr="00DF2595">
              <w:rPr>
                <w:rFonts w:cs="Arial"/>
                <w:sz w:val="24"/>
                <w:szCs w:val="24"/>
              </w:rPr>
              <w:t xml:space="preserve">Undertaken ethnographic research with low income families to understand how debt/income is managed </w:t>
            </w:r>
          </w:p>
          <w:p w:rsidR="00DF2595" w:rsidRPr="00DF2595" w:rsidRDefault="00DF2595" w:rsidP="007F09A8">
            <w:pPr>
              <w:pStyle w:val="ListParagraph"/>
              <w:numPr>
                <w:ilvl w:val="0"/>
                <w:numId w:val="4"/>
              </w:numPr>
              <w:spacing w:after="0" w:line="240" w:lineRule="auto"/>
              <w:ind w:left="694" w:hanging="425"/>
              <w:rPr>
                <w:rFonts w:cs="Arial"/>
                <w:sz w:val="24"/>
                <w:szCs w:val="24"/>
              </w:rPr>
            </w:pPr>
            <w:r w:rsidRPr="00DF2595">
              <w:rPr>
                <w:rFonts w:cs="Arial"/>
                <w:sz w:val="24"/>
                <w:szCs w:val="24"/>
              </w:rPr>
              <w:t>Taken on feedback from national organisations like Child Poverty Action Group</w:t>
            </w:r>
          </w:p>
          <w:p w:rsidR="007F09A8" w:rsidRDefault="007F09A8" w:rsidP="007F09A8">
            <w:pPr>
              <w:spacing w:after="0" w:line="240" w:lineRule="auto"/>
              <w:rPr>
                <w:rFonts w:ascii="Calibri" w:eastAsia="Times New Roman" w:hAnsi="Calibri" w:cs="Times New Roman"/>
                <w:bCs/>
                <w:color w:val="000000"/>
                <w:sz w:val="24"/>
                <w:szCs w:val="24"/>
              </w:rPr>
            </w:pPr>
          </w:p>
          <w:p w:rsidR="007F09A8" w:rsidRPr="007F09A8" w:rsidRDefault="007F09A8" w:rsidP="007F09A8">
            <w:pPr>
              <w:spacing w:after="0" w:line="240" w:lineRule="auto"/>
              <w:rPr>
                <w:rFonts w:ascii="Calibri" w:eastAsia="Times New Roman" w:hAnsi="Calibri" w:cs="Times New Roman"/>
                <w:bCs/>
                <w:color w:val="000000"/>
                <w:sz w:val="24"/>
                <w:szCs w:val="24"/>
              </w:rPr>
            </w:pPr>
            <w:r w:rsidRPr="007F09A8">
              <w:rPr>
                <w:rFonts w:ascii="Calibri" w:eastAsia="Times New Roman" w:hAnsi="Calibri" w:cs="Times New Roman"/>
                <w:bCs/>
                <w:color w:val="000000"/>
                <w:sz w:val="24"/>
                <w:szCs w:val="24"/>
              </w:rPr>
              <w:t>The strategy is more robust and ambitious as a result of this consultation and commits to several new activities</w:t>
            </w:r>
            <w:r>
              <w:rPr>
                <w:rFonts w:ascii="Calibri" w:eastAsia="Times New Roman" w:hAnsi="Calibri" w:cs="Times New Roman"/>
                <w:bCs/>
                <w:color w:val="000000"/>
                <w:sz w:val="24"/>
                <w:szCs w:val="24"/>
              </w:rPr>
              <w:t>/</w:t>
            </w:r>
            <w:r w:rsidRPr="007F09A8">
              <w:rPr>
                <w:rFonts w:ascii="Calibri" w:eastAsia="Times New Roman" w:hAnsi="Calibri" w:cs="Times New Roman"/>
                <w:bCs/>
                <w:color w:val="000000"/>
                <w:sz w:val="24"/>
                <w:szCs w:val="24"/>
              </w:rPr>
              <w:t xml:space="preserve">priorities around identifying and supporting vulnerable debtors in particular. </w:t>
            </w:r>
            <w:r>
              <w:rPr>
                <w:rFonts w:ascii="Calibri" w:eastAsia="Times New Roman" w:hAnsi="Calibri" w:cs="Times New Roman"/>
                <w:bCs/>
                <w:color w:val="000000"/>
                <w:sz w:val="24"/>
                <w:szCs w:val="24"/>
              </w:rPr>
              <w:t>Main changes as set out above.</w:t>
            </w:r>
          </w:p>
        </w:tc>
      </w:tr>
      <w:tr w:rsidR="00F914F0" w:rsidRPr="00635707" w:rsidTr="00C43BB0">
        <w:tc>
          <w:tcPr>
            <w:tcW w:w="3984" w:type="dxa"/>
            <w:gridSpan w:val="3"/>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3.2 Gaps in </w:t>
            </w:r>
            <w:r w:rsidR="00FE4B34">
              <w:rPr>
                <w:rFonts w:ascii="Calibri" w:eastAsia="Times New Roman" w:hAnsi="Calibri" w:cs="Times New Roman"/>
                <w:b/>
                <w:bCs/>
                <w:color w:val="000000"/>
                <w:sz w:val="24"/>
                <w:szCs w:val="24"/>
              </w:rPr>
              <w:t xml:space="preserve">coproduction, </w:t>
            </w:r>
            <w:r w:rsidRPr="00635707">
              <w:rPr>
                <w:rFonts w:ascii="Calibri" w:eastAsia="Times New Roman" w:hAnsi="Calibri" w:cs="Times New Roman"/>
                <w:b/>
                <w:bCs/>
                <w:color w:val="000000"/>
                <w:sz w:val="24"/>
                <w:szCs w:val="24"/>
              </w:rPr>
              <w:t xml:space="preserve">consultation and </w:t>
            </w:r>
            <w:r w:rsidR="00FE4B34">
              <w:rPr>
                <w:rFonts w:ascii="Calibri" w:eastAsia="Times New Roman" w:hAnsi="Calibri" w:cs="Times New Roman"/>
                <w:b/>
                <w:bCs/>
                <w:color w:val="000000"/>
                <w:sz w:val="24"/>
                <w:szCs w:val="24"/>
              </w:rPr>
              <w:t>involvement</w:t>
            </w:r>
          </w:p>
          <w:p w:rsidR="00F914F0" w:rsidRPr="007F09A8" w:rsidRDefault="00F914F0" w:rsidP="00635707">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lastRenderedPageBreak/>
              <w:t xml:space="preserve">What gaps in consultation and </w:t>
            </w:r>
            <w:r w:rsidR="00FE4B34">
              <w:rPr>
                <w:rFonts w:ascii="Calibri" w:eastAsia="Times New Roman" w:hAnsi="Calibri" w:cs="Times New Roman"/>
                <w:i/>
                <w:iCs/>
                <w:color w:val="000000"/>
                <w:sz w:val="24"/>
                <w:szCs w:val="24"/>
              </w:rPr>
              <w:t xml:space="preserve">involvement and coproduction </w:t>
            </w:r>
            <w:r w:rsidRPr="00635707">
              <w:rPr>
                <w:rFonts w:ascii="Calibri" w:eastAsia="Times New Roman" w:hAnsi="Calibri" w:cs="Times New Roman"/>
                <w:i/>
                <w:iCs/>
                <w:color w:val="000000"/>
                <w:sz w:val="24"/>
                <w:szCs w:val="24"/>
              </w:rPr>
              <w:t>have you identified</w:t>
            </w:r>
            <w:r w:rsidR="00C36A5D">
              <w:rPr>
                <w:rFonts w:ascii="Calibri" w:eastAsia="Times New Roman" w:hAnsi="Calibri" w:cs="Times New Roman"/>
                <w:i/>
                <w:iCs/>
                <w:color w:val="000000"/>
                <w:sz w:val="24"/>
                <w:szCs w:val="24"/>
              </w:rPr>
              <w:t xml:space="preserve"> (set out any gaps as they relate to specific equality groups)</w:t>
            </w:r>
            <w:r w:rsidRPr="00635707">
              <w:rPr>
                <w:rFonts w:ascii="Calibri" w:eastAsia="Times New Roman" w:hAnsi="Calibri" w:cs="Times New Roman"/>
                <w:i/>
                <w:iCs/>
                <w:color w:val="000000"/>
                <w:sz w:val="24"/>
                <w:szCs w:val="24"/>
              </w:rPr>
              <w:t>?</w:t>
            </w:r>
            <w:r w:rsidR="000808CE">
              <w:rPr>
                <w:rFonts w:ascii="Calibri" w:eastAsia="Times New Roman" w:hAnsi="Calibri" w:cs="Times New Roman"/>
                <w:i/>
                <w:iCs/>
                <w:color w:val="000000"/>
                <w:sz w:val="24"/>
                <w:szCs w:val="24"/>
              </w:rPr>
              <w:t xml:space="preserve"> </w:t>
            </w:r>
            <w:r w:rsidRPr="00635707">
              <w:rPr>
                <w:rFonts w:ascii="Calibri" w:eastAsia="Times New Roman" w:hAnsi="Calibri" w:cs="Times New Roman"/>
                <w:i/>
                <w:iCs/>
                <w:color w:val="000000"/>
                <w:sz w:val="24"/>
                <w:szCs w:val="24"/>
              </w:rPr>
              <w:t xml:space="preserve"> </w:t>
            </w:r>
          </w:p>
          <w:p w:rsidR="00F914F0" w:rsidRPr="00635707" w:rsidRDefault="00F914F0" w:rsidP="00635707">
            <w:pPr>
              <w:spacing w:after="0" w:line="240" w:lineRule="auto"/>
              <w:rPr>
                <w:rFonts w:ascii="Verdana" w:eastAsia="Times New Roman" w:hAnsi="Verdana" w:cs="Times New Roman"/>
                <w:color w:val="000000"/>
                <w:sz w:val="20"/>
                <w:szCs w:val="20"/>
              </w:rPr>
            </w:pPr>
          </w:p>
        </w:tc>
        <w:tc>
          <w:tcPr>
            <w:tcW w:w="9072" w:type="dxa"/>
            <w:shd w:val="clear" w:color="auto" w:fill="auto"/>
          </w:tcPr>
          <w:p w:rsidR="00F914F0" w:rsidRDefault="007F09A8" w:rsidP="00635707">
            <w:pPr>
              <w:spacing w:after="0" w:line="240" w:lineRule="auto"/>
              <w:rPr>
                <w:rFonts w:ascii="Calibri" w:eastAsia="Times New Roman" w:hAnsi="Calibri" w:cs="Times New Roman"/>
                <w:bCs/>
                <w:color w:val="000000"/>
                <w:sz w:val="24"/>
                <w:szCs w:val="24"/>
              </w:rPr>
            </w:pPr>
            <w:r w:rsidRPr="007F09A8">
              <w:rPr>
                <w:rFonts w:ascii="Calibri" w:eastAsia="Times New Roman" w:hAnsi="Calibri" w:cs="Times New Roman"/>
                <w:bCs/>
                <w:color w:val="000000"/>
                <w:sz w:val="24"/>
                <w:szCs w:val="24"/>
              </w:rPr>
              <w:lastRenderedPageBreak/>
              <w:t>We have not consulted with particular equalities groups in developing the strategy</w:t>
            </w:r>
            <w:r>
              <w:rPr>
                <w:rFonts w:ascii="Calibri" w:eastAsia="Times New Roman" w:hAnsi="Calibri" w:cs="Times New Roman"/>
                <w:bCs/>
                <w:color w:val="000000"/>
                <w:sz w:val="24"/>
                <w:szCs w:val="24"/>
              </w:rPr>
              <w:t xml:space="preserve"> to see if the needs of debtors in the particular groups is demonstrably different. This could be a </w:t>
            </w:r>
            <w:r>
              <w:rPr>
                <w:rFonts w:ascii="Calibri" w:eastAsia="Times New Roman" w:hAnsi="Calibri" w:cs="Times New Roman"/>
                <w:bCs/>
                <w:color w:val="000000"/>
                <w:sz w:val="24"/>
                <w:szCs w:val="24"/>
              </w:rPr>
              <w:lastRenderedPageBreak/>
              <w:t>planned for future activity to inform the six month review of the strategy.</w:t>
            </w:r>
          </w:p>
          <w:p w:rsidR="007F09A8" w:rsidRDefault="007F09A8" w:rsidP="00635707">
            <w:pPr>
              <w:spacing w:after="0" w:line="240" w:lineRule="auto"/>
              <w:rPr>
                <w:rFonts w:ascii="Calibri" w:eastAsia="Times New Roman" w:hAnsi="Calibri" w:cs="Times New Roman"/>
                <w:bCs/>
                <w:color w:val="000000"/>
                <w:sz w:val="24"/>
                <w:szCs w:val="24"/>
              </w:rPr>
            </w:pPr>
          </w:p>
          <w:p w:rsidR="007F09A8" w:rsidRPr="007F09A8" w:rsidRDefault="007F09A8" w:rsidP="007F09A8">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We need to consider the issue of how we identify those with a sight impairment and adapt our billing and collection activity accordingly. </w:t>
            </w:r>
          </w:p>
        </w:tc>
      </w:tr>
      <w:tr w:rsidR="00292B0D" w:rsidRPr="00431911" w:rsidTr="00C43BB0">
        <w:tc>
          <w:tcPr>
            <w:tcW w:w="13056" w:type="dxa"/>
            <w:gridSpan w:val="4"/>
            <w:shd w:val="clear" w:color="auto" w:fill="517DBF"/>
            <w:hideMark/>
          </w:tcPr>
          <w:p w:rsidR="00292B0D" w:rsidRPr="00431911" w:rsidRDefault="00292B0D" w:rsidP="00B8732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4.0 Conclusions, justification and action</w:t>
            </w:r>
          </w:p>
        </w:tc>
      </w:tr>
      <w:tr w:rsidR="00F914F0" w:rsidRPr="00635707" w:rsidTr="00C43BB0">
        <w:trPr>
          <w:trHeight w:val="408"/>
        </w:trPr>
        <w:tc>
          <w:tcPr>
            <w:tcW w:w="3984" w:type="dxa"/>
            <w:gridSpan w:val="3"/>
            <w:shd w:val="clear" w:color="auto" w:fill="EBF0F9"/>
            <w:hideMark/>
          </w:tcPr>
          <w:p w:rsidR="00F914F0" w:rsidRPr="00635707" w:rsidRDefault="00F914F0" w:rsidP="00D052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1</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Conclusions</w:t>
            </w:r>
            <w:r w:rsidRPr="00635707">
              <w:rPr>
                <w:rFonts w:ascii="Calibri" w:eastAsia="Times New Roman" w:hAnsi="Calibri" w:cs="Times New Roman"/>
                <w:b/>
                <w:bCs/>
                <w:color w:val="000000"/>
                <w:sz w:val="24"/>
                <w:szCs w:val="24"/>
              </w:rPr>
              <w:t xml:space="preserve"> and justification </w:t>
            </w:r>
          </w:p>
          <w:p w:rsidR="00431911" w:rsidRPr="003E5D5D" w:rsidRDefault="00F914F0" w:rsidP="00D052FB">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are the main conclusions </w:t>
            </w:r>
            <w:r>
              <w:rPr>
                <w:rFonts w:ascii="Calibri" w:eastAsia="Times New Roman" w:hAnsi="Calibri" w:cs="Times New Roman"/>
                <w:i/>
                <w:iCs/>
                <w:color w:val="000000"/>
                <w:sz w:val="24"/>
                <w:szCs w:val="24"/>
              </w:rPr>
              <w:t>of this EIA</w:t>
            </w:r>
            <w:r w:rsidRPr="00635707">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t>What, if any, disproportionate negative or positive equality impacts did you identify at 2.1?  On what grounds do you justify them and how will they be mitigated</w:t>
            </w:r>
            <w:r w:rsidRPr="00635707">
              <w:rPr>
                <w:rFonts w:ascii="Calibri" w:eastAsia="Times New Roman" w:hAnsi="Calibri" w:cs="Times New Roman"/>
                <w:i/>
                <w:iCs/>
                <w:color w:val="000000"/>
                <w:sz w:val="24"/>
                <w:szCs w:val="24"/>
              </w:rPr>
              <w:t>?</w:t>
            </w:r>
          </w:p>
        </w:tc>
        <w:tc>
          <w:tcPr>
            <w:tcW w:w="9072" w:type="dxa"/>
            <w:shd w:val="clear" w:color="auto" w:fill="auto"/>
          </w:tcPr>
          <w:p w:rsidR="003E5D5D" w:rsidRPr="003E5D5D" w:rsidRDefault="003E5D5D" w:rsidP="00FB1238">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It is not possible to draw firm conclusions. The strategy does not involve the taking away of any support or changing processes in any way that is likely to be harmful to any group of residents – however, we need to be mindful of any unintended consequences when the strategy is reviewed in October.</w:t>
            </w:r>
            <w:r w:rsidR="00FB1238">
              <w:rPr>
                <w:rFonts w:ascii="Calibri" w:eastAsia="Times New Roman" w:hAnsi="Calibri" w:cs="Times New Roman"/>
                <w:bCs/>
                <w:color w:val="000000"/>
                <w:sz w:val="24"/>
                <w:szCs w:val="24"/>
              </w:rPr>
              <w:t xml:space="preserve"> This can be achieved by involving equality groups within the 6 month review of the strategy. </w:t>
            </w:r>
            <w:r>
              <w:rPr>
                <w:rFonts w:ascii="Calibri" w:eastAsia="Times New Roman" w:hAnsi="Calibri" w:cs="Times New Roman"/>
                <w:bCs/>
                <w:color w:val="000000"/>
                <w:sz w:val="24"/>
                <w:szCs w:val="24"/>
              </w:rPr>
              <w:t xml:space="preserve"> The overall suite of changes (as set out above) provide more protection for vulnerable debtors, commit the council to a more joined up approach to debt and to improve data on record and it can be reasonably assumed that these steps will be positive ones for all debtors, regardless of the equalities’ group into which they may belong. </w:t>
            </w:r>
          </w:p>
        </w:tc>
      </w:tr>
      <w:tr w:rsidR="00BE1112" w:rsidRPr="00635707" w:rsidTr="00C43BB0">
        <w:tc>
          <w:tcPr>
            <w:tcW w:w="13056" w:type="dxa"/>
            <w:gridSpan w:val="4"/>
            <w:shd w:val="clear" w:color="auto" w:fill="EBF0F9"/>
            <w:hideMark/>
          </w:tcPr>
          <w:p w:rsidR="00BE1112" w:rsidRPr="00635707" w:rsidRDefault="00BE1112"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2</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Equality Action plan</w:t>
            </w:r>
          </w:p>
          <w:p w:rsidR="00BE1112" w:rsidRPr="00BE1112" w:rsidRDefault="00BE1112" w:rsidP="00213191">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Please list  the equality issue/s identified through the evidence and the mitigating action to be taken.  Please also detail the date when the action will be taken and the n</w:t>
            </w:r>
            <w:r w:rsidR="00213191">
              <w:rPr>
                <w:rFonts w:ascii="Calibri" w:eastAsia="Times New Roman" w:hAnsi="Calibri" w:cs="Times New Roman"/>
                <w:i/>
                <w:iCs/>
                <w:color w:val="000000"/>
                <w:sz w:val="24"/>
                <w:szCs w:val="24"/>
              </w:rPr>
              <w:t xml:space="preserve">ame and job title of the responsible </w:t>
            </w:r>
            <w:r>
              <w:rPr>
                <w:rFonts w:ascii="Calibri" w:eastAsia="Times New Roman" w:hAnsi="Calibri" w:cs="Times New Roman"/>
                <w:i/>
                <w:iCs/>
                <w:color w:val="000000"/>
                <w:sz w:val="24"/>
                <w:szCs w:val="24"/>
              </w:rPr>
              <w:t xml:space="preserve">officer.   </w:t>
            </w:r>
          </w:p>
        </w:tc>
      </w:tr>
      <w:tr w:rsidR="00FE3DEE" w:rsidRPr="000808CE" w:rsidTr="00C43BB0">
        <w:tc>
          <w:tcPr>
            <w:tcW w:w="3984" w:type="dxa"/>
            <w:gridSpan w:val="3"/>
            <w:tcBorders>
              <w:bottom w:val="single" w:sz="4" w:space="0" w:color="auto"/>
            </w:tcBorders>
            <w:shd w:val="clear" w:color="auto" w:fill="EBF0F9"/>
            <w:hideMark/>
          </w:tcPr>
          <w:p w:rsidR="00FE3DEE" w:rsidRPr="000808CE" w:rsidDel="00D052FB" w:rsidRDefault="00FE3DEE" w:rsidP="00F9341D">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Equality Issue</w:t>
            </w:r>
          </w:p>
        </w:tc>
        <w:tc>
          <w:tcPr>
            <w:tcW w:w="9072" w:type="dxa"/>
            <w:tcBorders>
              <w:bottom w:val="single" w:sz="4" w:space="0" w:color="auto"/>
            </w:tcBorders>
            <w:shd w:val="clear" w:color="auto" w:fill="EBF0F9"/>
          </w:tcPr>
          <w:p w:rsidR="00FE3DEE" w:rsidRPr="000808CE" w:rsidDel="00D052FB" w:rsidRDefault="00FE3DEE" w:rsidP="00FE3DEE">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Mitigating actions</w:t>
            </w:r>
          </w:p>
        </w:tc>
      </w:tr>
      <w:tr w:rsidR="00FE3DEE" w:rsidRPr="000808CE" w:rsidTr="00C43BB0">
        <w:tc>
          <w:tcPr>
            <w:tcW w:w="3984" w:type="dxa"/>
            <w:gridSpan w:val="3"/>
            <w:shd w:val="clear" w:color="auto" w:fill="auto"/>
            <w:hideMark/>
          </w:tcPr>
          <w:p w:rsidR="00BE1112" w:rsidRPr="006D54CE" w:rsidRDefault="003E5D5D" w:rsidP="00F9341D">
            <w:pPr>
              <w:spacing w:after="0" w:line="240" w:lineRule="auto"/>
              <w:rPr>
                <w:rFonts w:eastAsia="Times New Roman" w:cs="Times New Roman"/>
                <w:bCs/>
                <w:color w:val="000000"/>
                <w:sz w:val="24"/>
                <w:szCs w:val="24"/>
              </w:rPr>
            </w:pPr>
            <w:r w:rsidRPr="006D54CE">
              <w:rPr>
                <w:rFonts w:eastAsia="Times New Roman" w:cs="Times New Roman"/>
                <w:bCs/>
                <w:color w:val="000000"/>
                <w:sz w:val="24"/>
                <w:szCs w:val="24"/>
              </w:rPr>
              <w:t>1: Absence of clear process for identifying those with language or sight needs that impact ability to respond to written information</w:t>
            </w:r>
          </w:p>
          <w:p w:rsidR="00FE3DEE" w:rsidRPr="006D54CE" w:rsidDel="00D052FB" w:rsidRDefault="00FE3DEE" w:rsidP="00F9341D">
            <w:pPr>
              <w:spacing w:after="0" w:line="240" w:lineRule="auto"/>
              <w:rPr>
                <w:rFonts w:eastAsia="Times New Roman" w:cs="Times New Roman"/>
                <w:bCs/>
                <w:color w:val="000000"/>
                <w:sz w:val="24"/>
                <w:szCs w:val="24"/>
              </w:rPr>
            </w:pPr>
          </w:p>
        </w:tc>
        <w:tc>
          <w:tcPr>
            <w:tcW w:w="9072" w:type="dxa"/>
            <w:shd w:val="clear" w:color="auto" w:fill="auto"/>
          </w:tcPr>
          <w:p w:rsidR="00FE3DEE" w:rsidRDefault="003E5D5D" w:rsidP="006D54CE">
            <w:pPr>
              <w:pStyle w:val="ListParagraph"/>
              <w:numPr>
                <w:ilvl w:val="0"/>
                <w:numId w:val="6"/>
              </w:numPr>
              <w:spacing w:after="0" w:line="240" w:lineRule="auto"/>
              <w:rPr>
                <w:rFonts w:eastAsia="Times New Roman" w:cs="Times New Roman"/>
                <w:bCs/>
                <w:color w:val="000000"/>
                <w:sz w:val="24"/>
                <w:szCs w:val="24"/>
              </w:rPr>
            </w:pPr>
            <w:r w:rsidRPr="006D54CE">
              <w:rPr>
                <w:rFonts w:eastAsia="Times New Roman" w:cs="Times New Roman"/>
                <w:bCs/>
                <w:color w:val="000000"/>
                <w:sz w:val="24"/>
                <w:szCs w:val="24"/>
              </w:rPr>
              <w:t xml:space="preserve">Ways of identifying </w:t>
            </w:r>
            <w:r w:rsidR="006D54CE" w:rsidRPr="006D54CE">
              <w:rPr>
                <w:rFonts w:eastAsia="Times New Roman" w:cs="Times New Roman"/>
                <w:bCs/>
                <w:color w:val="000000"/>
                <w:sz w:val="24"/>
                <w:szCs w:val="24"/>
              </w:rPr>
              <w:t xml:space="preserve">and responding to </w:t>
            </w:r>
            <w:r w:rsidRPr="006D54CE">
              <w:rPr>
                <w:rFonts w:eastAsia="Times New Roman" w:cs="Times New Roman"/>
                <w:bCs/>
                <w:color w:val="000000"/>
                <w:sz w:val="24"/>
                <w:szCs w:val="24"/>
              </w:rPr>
              <w:t>needs to be considered by relevant staff within Revs/Bens</w:t>
            </w:r>
            <w:r w:rsidR="00FB1238">
              <w:rPr>
                <w:rFonts w:eastAsia="Times New Roman" w:cs="Times New Roman"/>
                <w:bCs/>
                <w:color w:val="000000"/>
                <w:sz w:val="24"/>
                <w:szCs w:val="24"/>
              </w:rPr>
              <w:t>, H</w:t>
            </w:r>
            <w:r w:rsidR="00886710">
              <w:rPr>
                <w:rFonts w:eastAsia="Times New Roman" w:cs="Times New Roman"/>
                <w:bCs/>
                <w:color w:val="000000"/>
                <w:sz w:val="24"/>
                <w:szCs w:val="24"/>
              </w:rPr>
              <w:t xml:space="preserve">ousing, </w:t>
            </w:r>
            <w:r w:rsidR="00FB1238">
              <w:rPr>
                <w:rFonts w:eastAsia="Times New Roman" w:cs="Times New Roman"/>
                <w:bCs/>
                <w:color w:val="000000"/>
                <w:sz w:val="24"/>
                <w:szCs w:val="24"/>
              </w:rPr>
              <w:t xml:space="preserve">Parking and all other agencies involved with income and debt collection. </w:t>
            </w:r>
          </w:p>
          <w:p w:rsidR="00452433" w:rsidRPr="006D54CE" w:rsidDel="00D052FB" w:rsidRDefault="00452433" w:rsidP="006D54CE">
            <w:pPr>
              <w:pStyle w:val="ListParagraph"/>
              <w:numPr>
                <w:ilvl w:val="0"/>
                <w:numId w:val="6"/>
              </w:numPr>
              <w:spacing w:after="0" w:line="240" w:lineRule="auto"/>
              <w:rPr>
                <w:rFonts w:eastAsia="Times New Roman" w:cs="Times New Roman"/>
                <w:bCs/>
                <w:color w:val="000000"/>
                <w:sz w:val="24"/>
                <w:szCs w:val="24"/>
              </w:rPr>
            </w:pPr>
            <w:r>
              <w:rPr>
                <w:rFonts w:eastAsia="Times New Roman" w:cs="Times New Roman"/>
                <w:bCs/>
                <w:color w:val="000000"/>
                <w:sz w:val="24"/>
                <w:szCs w:val="24"/>
              </w:rPr>
              <w:t>Collect languages information from debt advice agencies</w:t>
            </w:r>
          </w:p>
        </w:tc>
      </w:tr>
      <w:tr w:rsidR="00FE3DEE" w:rsidRPr="000808CE" w:rsidTr="00C43BB0">
        <w:tc>
          <w:tcPr>
            <w:tcW w:w="3984" w:type="dxa"/>
            <w:gridSpan w:val="3"/>
            <w:shd w:val="clear" w:color="auto" w:fill="auto"/>
            <w:hideMark/>
          </w:tcPr>
          <w:p w:rsidR="00FE3DEE" w:rsidRPr="006D54CE" w:rsidDel="00D052FB" w:rsidRDefault="003E5D5D" w:rsidP="006D54CE">
            <w:pPr>
              <w:spacing w:after="0" w:line="240" w:lineRule="auto"/>
              <w:rPr>
                <w:rFonts w:eastAsia="Times New Roman" w:cs="Times New Roman"/>
                <w:bCs/>
                <w:color w:val="000000"/>
                <w:sz w:val="24"/>
                <w:szCs w:val="24"/>
              </w:rPr>
            </w:pPr>
            <w:r w:rsidRPr="006D54CE">
              <w:rPr>
                <w:rFonts w:eastAsia="Times New Roman" w:cs="Times New Roman"/>
                <w:bCs/>
                <w:color w:val="000000"/>
                <w:sz w:val="24"/>
                <w:szCs w:val="24"/>
              </w:rPr>
              <w:t xml:space="preserve">2: </w:t>
            </w:r>
            <w:r w:rsidR="006D54CE" w:rsidRPr="006D54CE">
              <w:rPr>
                <w:rFonts w:eastAsia="Times New Roman" w:cs="Times New Roman"/>
                <w:bCs/>
                <w:color w:val="000000"/>
                <w:sz w:val="24"/>
                <w:szCs w:val="24"/>
              </w:rPr>
              <w:t>Lack of demographic data about CT debtors</w:t>
            </w:r>
          </w:p>
        </w:tc>
        <w:tc>
          <w:tcPr>
            <w:tcW w:w="9072" w:type="dxa"/>
            <w:shd w:val="clear" w:color="auto" w:fill="auto"/>
          </w:tcPr>
          <w:p w:rsidR="00FE3DEE" w:rsidRDefault="006D54CE" w:rsidP="000B31D8">
            <w:pPr>
              <w:pStyle w:val="ListParagraph"/>
              <w:numPr>
                <w:ilvl w:val="0"/>
                <w:numId w:val="5"/>
              </w:numPr>
              <w:spacing w:after="0" w:line="240" w:lineRule="auto"/>
              <w:rPr>
                <w:rFonts w:eastAsia="Times New Roman" w:cs="Times New Roman"/>
                <w:bCs/>
                <w:color w:val="000000"/>
                <w:sz w:val="24"/>
                <w:szCs w:val="24"/>
              </w:rPr>
            </w:pPr>
            <w:r w:rsidRPr="006D54CE">
              <w:rPr>
                <w:rFonts w:eastAsia="Times New Roman" w:cs="Times New Roman"/>
                <w:bCs/>
                <w:color w:val="000000"/>
                <w:sz w:val="24"/>
                <w:szCs w:val="24"/>
              </w:rPr>
              <w:t>Look at the matching of demographic data from council systems to better understand the breakdown of CT debtors</w:t>
            </w:r>
            <w:r w:rsidR="000B31D8">
              <w:rPr>
                <w:rFonts w:eastAsia="Times New Roman" w:cs="Times New Roman"/>
                <w:bCs/>
                <w:color w:val="000000"/>
                <w:sz w:val="24"/>
                <w:szCs w:val="24"/>
              </w:rPr>
              <w:t xml:space="preserve">. </w:t>
            </w:r>
          </w:p>
          <w:p w:rsidR="000B31D8" w:rsidRDefault="000B31D8" w:rsidP="000B31D8">
            <w:pPr>
              <w:pStyle w:val="ListParagraph"/>
              <w:numPr>
                <w:ilvl w:val="0"/>
                <w:numId w:val="5"/>
              </w:numPr>
              <w:spacing w:after="0" w:line="240" w:lineRule="auto"/>
              <w:rPr>
                <w:rFonts w:eastAsia="Times New Roman" w:cs="Times New Roman"/>
                <w:bCs/>
                <w:color w:val="000000"/>
                <w:sz w:val="24"/>
                <w:szCs w:val="24"/>
              </w:rPr>
            </w:pPr>
            <w:r>
              <w:rPr>
                <w:rFonts w:eastAsia="Times New Roman" w:cs="Times New Roman"/>
                <w:bCs/>
                <w:color w:val="000000"/>
                <w:sz w:val="24"/>
                <w:szCs w:val="24"/>
              </w:rPr>
              <w:t>Conduct a more thorough analysis of bailiff referrals.</w:t>
            </w:r>
          </w:p>
          <w:p w:rsidR="002117A7" w:rsidRDefault="002117A7" w:rsidP="002117A7">
            <w:pPr>
              <w:pStyle w:val="ListParagraph"/>
              <w:numPr>
                <w:ilvl w:val="0"/>
                <w:numId w:val="5"/>
              </w:numPr>
              <w:spacing w:after="0" w:line="240" w:lineRule="auto"/>
              <w:rPr>
                <w:rFonts w:eastAsia="Times New Roman" w:cs="Times New Roman"/>
                <w:bCs/>
                <w:color w:val="000000"/>
                <w:sz w:val="24"/>
                <w:szCs w:val="24"/>
              </w:rPr>
            </w:pPr>
            <w:r>
              <w:rPr>
                <w:rFonts w:eastAsia="Times New Roman" w:cs="Times New Roman"/>
                <w:bCs/>
                <w:color w:val="000000"/>
                <w:sz w:val="24"/>
                <w:szCs w:val="24"/>
              </w:rPr>
              <w:t>A review of demographic data to be considered more widely by EIA panel.</w:t>
            </w:r>
          </w:p>
          <w:p w:rsidR="002117A7" w:rsidRPr="001A1633" w:rsidDel="00D052FB" w:rsidRDefault="002117A7" w:rsidP="001A1633">
            <w:pPr>
              <w:spacing w:after="0" w:line="240" w:lineRule="auto"/>
              <w:rPr>
                <w:rFonts w:eastAsia="Times New Roman" w:cs="Times New Roman"/>
                <w:bCs/>
                <w:color w:val="000000"/>
                <w:sz w:val="24"/>
                <w:szCs w:val="24"/>
              </w:rPr>
            </w:pPr>
          </w:p>
        </w:tc>
      </w:tr>
      <w:tr w:rsidR="00FE3DEE" w:rsidRPr="000808CE" w:rsidTr="00C43BB0">
        <w:tc>
          <w:tcPr>
            <w:tcW w:w="3984" w:type="dxa"/>
            <w:gridSpan w:val="3"/>
            <w:shd w:val="clear" w:color="auto" w:fill="auto"/>
            <w:hideMark/>
          </w:tcPr>
          <w:p w:rsidR="00FE3DEE" w:rsidRPr="006D54CE" w:rsidDel="00D052FB" w:rsidRDefault="006D54CE" w:rsidP="00F9341D">
            <w:pPr>
              <w:spacing w:after="0" w:line="240" w:lineRule="auto"/>
              <w:rPr>
                <w:rFonts w:eastAsia="Times New Roman" w:cs="Times New Roman"/>
                <w:bCs/>
                <w:color w:val="000000"/>
                <w:sz w:val="24"/>
                <w:szCs w:val="24"/>
              </w:rPr>
            </w:pPr>
            <w:r w:rsidRPr="006D54CE">
              <w:rPr>
                <w:rFonts w:eastAsia="Times New Roman" w:cs="Times New Roman"/>
                <w:bCs/>
                <w:color w:val="000000"/>
                <w:sz w:val="24"/>
                <w:szCs w:val="24"/>
              </w:rPr>
              <w:t xml:space="preserve">3. </w:t>
            </w:r>
            <w:r w:rsidR="00452433">
              <w:rPr>
                <w:rFonts w:eastAsia="Times New Roman" w:cs="Times New Roman"/>
                <w:bCs/>
                <w:color w:val="000000"/>
                <w:sz w:val="24"/>
                <w:szCs w:val="24"/>
              </w:rPr>
              <w:t>Missing information about certain protected characteristics on all systems</w:t>
            </w:r>
          </w:p>
        </w:tc>
        <w:tc>
          <w:tcPr>
            <w:tcW w:w="9072" w:type="dxa"/>
            <w:shd w:val="clear" w:color="auto" w:fill="auto"/>
          </w:tcPr>
          <w:p w:rsidR="000B31D8" w:rsidRDefault="00452433" w:rsidP="00452433">
            <w:pPr>
              <w:pStyle w:val="ListParagraph"/>
              <w:numPr>
                <w:ilvl w:val="0"/>
                <w:numId w:val="5"/>
              </w:numPr>
              <w:spacing w:after="0" w:line="240" w:lineRule="auto"/>
              <w:rPr>
                <w:rFonts w:eastAsia="Times New Roman" w:cs="Times New Roman"/>
                <w:bCs/>
                <w:color w:val="000000"/>
                <w:sz w:val="24"/>
                <w:szCs w:val="24"/>
              </w:rPr>
            </w:pPr>
            <w:r>
              <w:rPr>
                <w:rFonts w:eastAsia="Times New Roman" w:cs="Times New Roman"/>
                <w:bCs/>
                <w:color w:val="000000"/>
                <w:sz w:val="24"/>
                <w:szCs w:val="24"/>
              </w:rPr>
              <w:t>Consider how/if gaps can be filled, provision of dat</w:t>
            </w:r>
            <w:r w:rsidR="000B31D8">
              <w:rPr>
                <w:rFonts w:eastAsia="Times New Roman" w:cs="Times New Roman"/>
                <w:bCs/>
                <w:color w:val="000000"/>
                <w:sz w:val="24"/>
                <w:szCs w:val="24"/>
              </w:rPr>
              <w:t>a</w:t>
            </w:r>
            <w:r>
              <w:rPr>
                <w:rFonts w:eastAsia="Times New Roman" w:cs="Times New Roman"/>
                <w:bCs/>
                <w:color w:val="000000"/>
                <w:sz w:val="24"/>
                <w:szCs w:val="24"/>
              </w:rPr>
              <w:t xml:space="preserve"> can be incentivised</w:t>
            </w:r>
            <w:r w:rsidR="000B31D8">
              <w:rPr>
                <w:rFonts w:eastAsia="Times New Roman" w:cs="Times New Roman"/>
                <w:bCs/>
                <w:color w:val="000000"/>
                <w:sz w:val="24"/>
                <w:szCs w:val="24"/>
              </w:rPr>
              <w:t>.</w:t>
            </w:r>
          </w:p>
          <w:p w:rsidR="00FE3DEE" w:rsidRDefault="000B31D8" w:rsidP="00452433">
            <w:pPr>
              <w:pStyle w:val="ListParagraph"/>
              <w:numPr>
                <w:ilvl w:val="0"/>
                <w:numId w:val="5"/>
              </w:numPr>
              <w:spacing w:after="0" w:line="240" w:lineRule="auto"/>
              <w:rPr>
                <w:rFonts w:eastAsia="Times New Roman" w:cs="Times New Roman"/>
                <w:bCs/>
                <w:color w:val="000000"/>
                <w:sz w:val="24"/>
                <w:szCs w:val="24"/>
              </w:rPr>
            </w:pPr>
            <w:r>
              <w:rPr>
                <w:rFonts w:eastAsia="Times New Roman" w:cs="Times New Roman"/>
                <w:bCs/>
                <w:color w:val="000000"/>
                <w:sz w:val="24"/>
                <w:szCs w:val="24"/>
              </w:rPr>
              <w:t xml:space="preserve"> Increasing numbers of mylambeth accounts may be a good opportunity to increase </w:t>
            </w:r>
            <w:r>
              <w:rPr>
                <w:rFonts w:eastAsia="Times New Roman" w:cs="Times New Roman"/>
                <w:bCs/>
                <w:color w:val="000000"/>
                <w:sz w:val="24"/>
                <w:szCs w:val="24"/>
              </w:rPr>
              <w:lastRenderedPageBreak/>
              <w:t xml:space="preserve">data. </w:t>
            </w:r>
          </w:p>
          <w:p w:rsidR="000B31D8" w:rsidRPr="001A1633" w:rsidDel="00D052FB" w:rsidRDefault="000B31D8" w:rsidP="001A1633">
            <w:pPr>
              <w:spacing w:after="0" w:line="240" w:lineRule="auto"/>
              <w:rPr>
                <w:rFonts w:eastAsia="Times New Roman" w:cs="Times New Roman"/>
                <w:bCs/>
                <w:color w:val="000000"/>
                <w:sz w:val="24"/>
                <w:szCs w:val="24"/>
              </w:rPr>
            </w:pPr>
          </w:p>
        </w:tc>
      </w:tr>
      <w:tr w:rsidR="00FE3DEE" w:rsidRPr="000808CE" w:rsidTr="00C43BB0">
        <w:tc>
          <w:tcPr>
            <w:tcW w:w="3984" w:type="dxa"/>
            <w:gridSpan w:val="3"/>
            <w:shd w:val="clear" w:color="auto" w:fill="auto"/>
            <w:hideMark/>
          </w:tcPr>
          <w:p w:rsidR="00FE3DEE" w:rsidRPr="000808CE" w:rsidDel="00D052FB" w:rsidRDefault="00D70BB3" w:rsidP="002117A7">
            <w:pPr>
              <w:spacing w:after="0" w:line="240" w:lineRule="auto"/>
              <w:rPr>
                <w:rFonts w:eastAsia="Times New Roman" w:cs="Times New Roman"/>
                <w:b/>
                <w:bCs/>
                <w:color w:val="000000"/>
                <w:sz w:val="24"/>
                <w:szCs w:val="24"/>
              </w:rPr>
            </w:pPr>
            <w:r>
              <w:rPr>
                <w:rFonts w:eastAsia="Times New Roman" w:cs="Times New Roman"/>
                <w:b/>
                <w:bCs/>
                <w:color w:val="000000"/>
                <w:sz w:val="24"/>
                <w:szCs w:val="24"/>
              </w:rPr>
              <w:lastRenderedPageBreak/>
              <w:t xml:space="preserve">4. </w:t>
            </w:r>
            <w:r w:rsidR="002117A7">
              <w:rPr>
                <w:rFonts w:eastAsia="Times New Roman" w:cs="Times New Roman"/>
                <w:b/>
                <w:bCs/>
                <w:color w:val="000000"/>
                <w:sz w:val="24"/>
                <w:szCs w:val="24"/>
              </w:rPr>
              <w:t xml:space="preserve">Enforcement action </w:t>
            </w:r>
            <w:r w:rsidR="000B31D8">
              <w:rPr>
                <w:rFonts w:eastAsia="Times New Roman" w:cs="Times New Roman"/>
                <w:b/>
                <w:bCs/>
                <w:color w:val="000000"/>
                <w:sz w:val="24"/>
                <w:szCs w:val="24"/>
              </w:rPr>
              <w:t xml:space="preserve">can worsen the situation for vulnerable residents who are unable to pay. </w:t>
            </w:r>
          </w:p>
        </w:tc>
        <w:tc>
          <w:tcPr>
            <w:tcW w:w="9072" w:type="dxa"/>
            <w:shd w:val="clear" w:color="auto" w:fill="auto"/>
          </w:tcPr>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 xml:space="preserve"> We guarantee that when enforcing any Council Tax debt we will not send residents from our Income and Debt Strategy protected groups for bailiff action. Our Income and Debt Strategy protected group includes carers, those affected by the benefit cap, war widow[er]s, disabled people, pensioners, those affected by the bedroom tax, those receiving DHP and those receiving local welfare assistance. Bailiffs will be considered as a last resort for all other CTS recipients once all other enforcement and support options have been considered/attempted.</w:t>
            </w:r>
          </w:p>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A commitment to reach out to those receiving a court summons for council tax debt at or before Final Notice stage and make a pro-active offer of debt support, with the summons (and any associated charges) cancelled if that debt support is taken up</w:t>
            </w:r>
          </w:p>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 xml:space="preserve">Ensuring that vulnerable debtors are flagged on the system so that enforcement action can be tailored accordingly and support offered where appropriate. A definition of vulnerability is included in appendix E of the income and debt manual. </w:t>
            </w:r>
          </w:p>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Establishment of a local debt forum of relevant agencies and interested citizens and businesses to keep the strategy and related activity under review</w:t>
            </w:r>
          </w:p>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 xml:space="preserve">More flexible payment methods and more options/encouragement to pay in advance </w:t>
            </w:r>
          </w:p>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Clearer letters and bills and online billing and payments achieved through mylambeth</w:t>
            </w:r>
          </w:p>
          <w:p w:rsidR="00D70BB3" w:rsidRDefault="00D70BB3" w:rsidP="00D70BB3">
            <w:pPr>
              <w:pStyle w:val="ListParagraph"/>
              <w:numPr>
                <w:ilvl w:val="0"/>
                <w:numId w:val="2"/>
              </w:numPr>
              <w:spacing w:after="0" w:line="240" w:lineRule="auto"/>
              <w:rPr>
                <w:rFonts w:eastAsia="Times New Roman" w:cs="Arial"/>
                <w:color w:val="000000"/>
                <w:sz w:val="24"/>
                <w:szCs w:val="24"/>
              </w:rPr>
            </w:pPr>
            <w:r>
              <w:rPr>
                <w:rFonts w:eastAsia="Times New Roman" w:cs="Arial"/>
                <w:color w:val="000000"/>
                <w:sz w:val="24"/>
                <w:szCs w:val="24"/>
              </w:rPr>
              <w:t>All bills and arrears statements to include details of how to get advice through the CAB</w:t>
            </w:r>
          </w:p>
          <w:p w:rsidR="00FE3DEE" w:rsidRPr="000808CE" w:rsidDel="00D052FB" w:rsidRDefault="006D76A8" w:rsidP="001A1633">
            <w:pPr>
              <w:pStyle w:val="ListParagraph"/>
              <w:numPr>
                <w:ilvl w:val="0"/>
                <w:numId w:val="2"/>
              </w:numPr>
              <w:spacing w:after="0" w:line="240" w:lineRule="auto"/>
              <w:rPr>
                <w:rFonts w:eastAsia="Times New Roman" w:cs="Times New Roman"/>
                <w:b/>
                <w:bCs/>
                <w:color w:val="000000"/>
                <w:sz w:val="24"/>
                <w:szCs w:val="24"/>
              </w:rPr>
            </w:pPr>
            <w:r>
              <w:rPr>
                <w:rFonts w:eastAsia="Times New Roman" w:cs="Arial"/>
                <w:color w:val="000000"/>
                <w:sz w:val="24"/>
                <w:szCs w:val="24"/>
              </w:rPr>
              <w:t>Pre eviction panels for LL tenants in rent arrears who are in the Income and Debt Strategy Protected Groups category. The panel will ensure that all efforts have been made to support the resident in their tenancy to ensure that eviction is only ever a final resort</w:t>
            </w:r>
          </w:p>
        </w:tc>
      </w:tr>
      <w:tr w:rsidR="00FE3DEE" w:rsidRPr="000808CE" w:rsidTr="00C43BB0">
        <w:tc>
          <w:tcPr>
            <w:tcW w:w="3984" w:type="dxa"/>
            <w:gridSpan w:val="3"/>
            <w:shd w:val="clear" w:color="auto" w:fill="auto"/>
            <w:hideMark/>
          </w:tcPr>
          <w:p w:rsidR="00FE3DEE" w:rsidRPr="000808CE" w:rsidDel="00D052FB" w:rsidRDefault="002117A7" w:rsidP="00EA757E">
            <w:pPr>
              <w:spacing w:after="0" w:line="240" w:lineRule="auto"/>
              <w:rPr>
                <w:rFonts w:eastAsia="Times New Roman" w:cs="Times New Roman"/>
                <w:b/>
                <w:bCs/>
                <w:color w:val="000000"/>
                <w:sz w:val="24"/>
                <w:szCs w:val="24"/>
              </w:rPr>
            </w:pPr>
            <w:r>
              <w:rPr>
                <w:rFonts w:ascii="Calibri" w:eastAsia="Times New Roman" w:hAnsi="Calibri" w:cs="Times New Roman"/>
                <w:bCs/>
                <w:color w:val="000000"/>
                <w:sz w:val="24"/>
                <w:szCs w:val="24"/>
              </w:rPr>
              <w:t xml:space="preserve">5.  </w:t>
            </w:r>
            <w:r w:rsidR="00EA757E">
              <w:rPr>
                <w:rFonts w:ascii="Calibri" w:eastAsia="Times New Roman" w:hAnsi="Calibri" w:cs="Times New Roman"/>
                <w:bCs/>
                <w:color w:val="000000"/>
                <w:sz w:val="24"/>
                <w:szCs w:val="24"/>
              </w:rPr>
              <w:t xml:space="preserve">Unintended </w:t>
            </w:r>
            <w:r>
              <w:rPr>
                <w:rFonts w:ascii="Calibri" w:eastAsia="Times New Roman" w:hAnsi="Calibri" w:cs="Times New Roman"/>
                <w:bCs/>
                <w:color w:val="000000"/>
                <w:sz w:val="24"/>
                <w:szCs w:val="24"/>
              </w:rPr>
              <w:t xml:space="preserve">consequences </w:t>
            </w:r>
            <w:r w:rsidR="00EA757E">
              <w:rPr>
                <w:rFonts w:ascii="Calibri" w:eastAsia="Times New Roman" w:hAnsi="Calibri" w:cs="Times New Roman"/>
                <w:bCs/>
                <w:color w:val="000000"/>
                <w:sz w:val="24"/>
                <w:szCs w:val="24"/>
              </w:rPr>
              <w:t xml:space="preserve">of this strategy. </w:t>
            </w:r>
          </w:p>
        </w:tc>
        <w:tc>
          <w:tcPr>
            <w:tcW w:w="9072" w:type="dxa"/>
            <w:shd w:val="clear" w:color="auto" w:fill="auto"/>
          </w:tcPr>
          <w:p w:rsidR="00EA757E" w:rsidRPr="001A1633" w:rsidRDefault="00EA757E" w:rsidP="001A1633">
            <w:pPr>
              <w:pStyle w:val="ListParagraph"/>
              <w:numPr>
                <w:ilvl w:val="0"/>
                <w:numId w:val="7"/>
              </w:numPr>
              <w:spacing w:after="0" w:line="240" w:lineRule="auto"/>
              <w:rPr>
                <w:rFonts w:eastAsia="Times New Roman" w:cs="Times New Roman"/>
                <w:bCs/>
                <w:color w:val="000000"/>
                <w:sz w:val="24"/>
                <w:szCs w:val="24"/>
              </w:rPr>
            </w:pPr>
            <w:r w:rsidRPr="001A1633">
              <w:rPr>
                <w:rFonts w:eastAsia="Times New Roman" w:cs="Times New Roman"/>
                <w:bCs/>
                <w:color w:val="000000"/>
                <w:sz w:val="24"/>
                <w:szCs w:val="24"/>
              </w:rPr>
              <w:t>Conduct a 6 month review</w:t>
            </w:r>
          </w:p>
          <w:p w:rsidR="00EA757E" w:rsidRPr="001A1633" w:rsidRDefault="002117A7" w:rsidP="001A1633">
            <w:pPr>
              <w:pStyle w:val="ListParagraph"/>
              <w:numPr>
                <w:ilvl w:val="0"/>
                <w:numId w:val="7"/>
              </w:numPr>
              <w:spacing w:after="0" w:line="240" w:lineRule="auto"/>
              <w:rPr>
                <w:rFonts w:eastAsia="Times New Roman" w:cs="Times New Roman"/>
                <w:bCs/>
                <w:color w:val="000000"/>
                <w:sz w:val="24"/>
                <w:szCs w:val="24"/>
              </w:rPr>
            </w:pPr>
            <w:r w:rsidRPr="001A1633">
              <w:rPr>
                <w:rFonts w:eastAsia="Times New Roman" w:cs="Times New Roman"/>
                <w:bCs/>
                <w:color w:val="000000"/>
                <w:sz w:val="24"/>
                <w:szCs w:val="24"/>
              </w:rPr>
              <w:t>Involve equality groups in the the 6 month review of the strategy</w:t>
            </w:r>
          </w:p>
          <w:p w:rsidR="002117A7" w:rsidRPr="001A1633" w:rsidRDefault="002117A7" w:rsidP="001A1633">
            <w:pPr>
              <w:pStyle w:val="ListParagraph"/>
              <w:numPr>
                <w:ilvl w:val="0"/>
                <w:numId w:val="7"/>
              </w:numPr>
              <w:spacing w:after="0" w:line="240" w:lineRule="auto"/>
              <w:rPr>
                <w:rFonts w:eastAsia="Times New Roman" w:cs="Times New Roman"/>
                <w:bCs/>
                <w:color w:val="000000"/>
                <w:sz w:val="24"/>
                <w:szCs w:val="24"/>
              </w:rPr>
            </w:pPr>
            <w:r w:rsidRPr="001A1633">
              <w:rPr>
                <w:rFonts w:eastAsia="Times New Roman" w:cs="Times New Roman"/>
                <w:bCs/>
                <w:color w:val="000000"/>
                <w:sz w:val="24"/>
                <w:szCs w:val="24"/>
              </w:rPr>
              <w:t xml:space="preserve">Monitor if the number of bailiff referrals have reduced. </w:t>
            </w:r>
          </w:p>
          <w:p w:rsidR="002117A7" w:rsidRPr="001A1633" w:rsidRDefault="00EA757E" w:rsidP="001A1633">
            <w:pPr>
              <w:pStyle w:val="ListParagraph"/>
              <w:numPr>
                <w:ilvl w:val="0"/>
                <w:numId w:val="7"/>
              </w:numPr>
              <w:spacing w:after="0" w:line="240" w:lineRule="auto"/>
              <w:rPr>
                <w:rFonts w:eastAsia="Times New Roman" w:cs="Times New Roman"/>
                <w:bCs/>
                <w:color w:val="000000"/>
                <w:sz w:val="24"/>
                <w:szCs w:val="24"/>
              </w:rPr>
            </w:pPr>
            <w:r w:rsidRPr="001A1633">
              <w:rPr>
                <w:rFonts w:eastAsia="Times New Roman" w:cs="Times New Roman"/>
                <w:bCs/>
                <w:color w:val="000000"/>
                <w:sz w:val="24"/>
                <w:szCs w:val="24"/>
              </w:rPr>
              <w:t xml:space="preserve">Measure any </w:t>
            </w:r>
            <w:r w:rsidR="002117A7" w:rsidRPr="001A1633">
              <w:rPr>
                <w:rFonts w:eastAsia="Times New Roman" w:cs="Times New Roman"/>
                <w:bCs/>
                <w:color w:val="000000"/>
                <w:sz w:val="24"/>
                <w:szCs w:val="24"/>
              </w:rPr>
              <w:t>increase the amount of demographic data we hold.</w:t>
            </w:r>
          </w:p>
          <w:p w:rsidR="002117A7" w:rsidRPr="001A1633" w:rsidRDefault="002117A7" w:rsidP="001A1633">
            <w:pPr>
              <w:pStyle w:val="ListParagraph"/>
              <w:numPr>
                <w:ilvl w:val="0"/>
                <w:numId w:val="7"/>
              </w:numPr>
              <w:spacing w:after="0" w:line="240" w:lineRule="auto"/>
              <w:rPr>
                <w:rFonts w:eastAsia="Times New Roman" w:cs="Times New Roman"/>
                <w:bCs/>
                <w:color w:val="000000"/>
                <w:sz w:val="24"/>
                <w:szCs w:val="24"/>
              </w:rPr>
            </w:pPr>
            <w:r w:rsidRPr="001A1633">
              <w:rPr>
                <w:rFonts w:eastAsia="Times New Roman" w:cs="Times New Roman"/>
                <w:bCs/>
                <w:color w:val="000000"/>
                <w:sz w:val="24"/>
                <w:szCs w:val="24"/>
              </w:rPr>
              <w:t>Review if numbers of multiple debtors have reduced.</w:t>
            </w:r>
          </w:p>
          <w:p w:rsidR="002117A7" w:rsidRPr="001A1633" w:rsidRDefault="002117A7" w:rsidP="001A1633">
            <w:pPr>
              <w:pStyle w:val="ListParagraph"/>
              <w:numPr>
                <w:ilvl w:val="0"/>
                <w:numId w:val="7"/>
              </w:numPr>
              <w:spacing w:after="0" w:line="240" w:lineRule="auto"/>
              <w:rPr>
                <w:rFonts w:eastAsia="Times New Roman" w:cs="Times New Roman"/>
                <w:bCs/>
                <w:color w:val="000000"/>
                <w:sz w:val="24"/>
                <w:szCs w:val="24"/>
              </w:rPr>
            </w:pPr>
            <w:r w:rsidRPr="001A1633">
              <w:rPr>
                <w:rFonts w:eastAsia="Times New Roman" w:cs="Times New Roman"/>
                <w:bCs/>
                <w:color w:val="000000"/>
                <w:sz w:val="24"/>
                <w:szCs w:val="24"/>
              </w:rPr>
              <w:lastRenderedPageBreak/>
              <w:t xml:space="preserve">Increase the number of frontline staff who are Money Champions. </w:t>
            </w:r>
          </w:p>
          <w:p w:rsidR="00EA757E" w:rsidRPr="001A1633" w:rsidRDefault="00EA757E" w:rsidP="001A1633">
            <w:pPr>
              <w:pStyle w:val="ListParagraph"/>
              <w:numPr>
                <w:ilvl w:val="0"/>
                <w:numId w:val="7"/>
              </w:numPr>
              <w:spacing w:after="0" w:line="240" w:lineRule="auto"/>
              <w:rPr>
                <w:rFonts w:eastAsia="Times New Roman" w:cs="Times New Roman"/>
                <w:b/>
                <w:bCs/>
                <w:color w:val="000000"/>
                <w:sz w:val="24"/>
                <w:szCs w:val="24"/>
              </w:rPr>
            </w:pPr>
            <w:r>
              <w:rPr>
                <w:rFonts w:ascii="Calibri" w:eastAsia="Times New Roman" w:hAnsi="Calibri" w:cs="Times New Roman"/>
                <w:bCs/>
                <w:color w:val="000000"/>
                <w:sz w:val="24"/>
                <w:szCs w:val="24"/>
              </w:rPr>
              <w:t>A review of why younger tenants (especially those under 25) are disproportionately likely to be in arrears and what we can do to support them further.</w:t>
            </w:r>
          </w:p>
          <w:p w:rsidR="00EA757E" w:rsidRPr="001A1633" w:rsidDel="00D052FB" w:rsidRDefault="00EA757E" w:rsidP="001A1633">
            <w:pPr>
              <w:pStyle w:val="ListParagraph"/>
              <w:numPr>
                <w:ilvl w:val="0"/>
                <w:numId w:val="7"/>
              </w:numPr>
              <w:spacing w:after="0" w:line="240" w:lineRule="auto"/>
              <w:rPr>
                <w:rFonts w:eastAsia="Times New Roman" w:cs="Times New Roman"/>
                <w:b/>
                <w:bCs/>
                <w:color w:val="000000"/>
                <w:sz w:val="24"/>
                <w:szCs w:val="24"/>
              </w:rPr>
            </w:pPr>
            <w:r>
              <w:rPr>
                <w:rFonts w:ascii="Calibri" w:eastAsia="Times New Roman" w:hAnsi="Calibri" w:cs="Times New Roman"/>
                <w:bCs/>
                <w:color w:val="000000"/>
                <w:sz w:val="24"/>
                <w:szCs w:val="24"/>
              </w:rPr>
              <w:t xml:space="preserve">Compare levels of accumulated debt from previous years. </w:t>
            </w:r>
          </w:p>
        </w:tc>
      </w:tr>
      <w:tr w:rsidR="00FE3DEE" w:rsidRPr="000808CE" w:rsidTr="00C43BB0">
        <w:tc>
          <w:tcPr>
            <w:tcW w:w="3984" w:type="dxa"/>
            <w:gridSpan w:val="3"/>
            <w:shd w:val="clear" w:color="auto" w:fill="auto"/>
            <w:hideMark/>
          </w:tcPr>
          <w:p w:rsidR="00FE3DEE" w:rsidRPr="000808CE" w:rsidDel="00D052FB" w:rsidRDefault="00FE3DEE" w:rsidP="00F9341D">
            <w:pPr>
              <w:spacing w:after="0" w:line="240" w:lineRule="auto"/>
              <w:rPr>
                <w:rFonts w:eastAsia="Times New Roman" w:cs="Times New Roman"/>
                <w:b/>
                <w:bCs/>
                <w:color w:val="000000"/>
                <w:sz w:val="24"/>
                <w:szCs w:val="24"/>
              </w:rPr>
            </w:pPr>
          </w:p>
        </w:tc>
        <w:tc>
          <w:tcPr>
            <w:tcW w:w="9072" w:type="dxa"/>
            <w:shd w:val="clear" w:color="auto" w:fill="auto"/>
          </w:tcPr>
          <w:p w:rsidR="00FE3DEE" w:rsidRPr="000808CE" w:rsidDel="00D052FB" w:rsidRDefault="00FE3DEE" w:rsidP="00F9341D">
            <w:pPr>
              <w:spacing w:after="0" w:line="240" w:lineRule="auto"/>
              <w:rPr>
                <w:rFonts w:eastAsia="Times New Roman" w:cs="Times New Roman"/>
                <w:b/>
                <w:bCs/>
                <w:color w:val="000000"/>
                <w:sz w:val="24"/>
                <w:szCs w:val="24"/>
              </w:rPr>
            </w:pPr>
          </w:p>
        </w:tc>
      </w:tr>
      <w:tr w:rsidR="00F914F0" w:rsidRPr="00431911" w:rsidTr="00C43BB0">
        <w:tc>
          <w:tcPr>
            <w:tcW w:w="3984" w:type="dxa"/>
            <w:gridSpan w:val="3"/>
            <w:shd w:val="clear" w:color="auto" w:fill="517DBF"/>
            <w:hideMark/>
          </w:tcPr>
          <w:p w:rsidR="00F914F0" w:rsidRPr="00431911" w:rsidRDefault="00F914F0" w:rsidP="00635707">
            <w:pPr>
              <w:spacing w:after="0" w:line="240" w:lineRule="auto"/>
              <w:rPr>
                <w:rFonts w:ascii="Verdana" w:eastAsia="Times New Roman" w:hAnsi="Verdana" w:cs="Times New Roman"/>
                <w:color w:val="FFFFFF" w:themeColor="background1"/>
                <w:sz w:val="28"/>
                <w:szCs w:val="28"/>
              </w:rPr>
            </w:pPr>
            <w:r w:rsidRPr="00431911">
              <w:rPr>
                <w:rFonts w:ascii="Calibri" w:eastAsia="Times New Roman" w:hAnsi="Calibri" w:cs="Times New Roman"/>
                <w:b/>
                <w:bCs/>
                <w:color w:val="FFFFFF" w:themeColor="background1"/>
                <w:sz w:val="28"/>
                <w:szCs w:val="28"/>
              </w:rPr>
              <w:t>5.0 Publishing your results</w:t>
            </w:r>
          </w:p>
        </w:tc>
        <w:tc>
          <w:tcPr>
            <w:tcW w:w="9072" w:type="dxa"/>
            <w:shd w:val="clear" w:color="auto" w:fill="517DBF"/>
          </w:tcPr>
          <w:p w:rsidR="00F914F0" w:rsidRPr="00431911" w:rsidRDefault="00F914F0" w:rsidP="00635707">
            <w:pPr>
              <w:spacing w:after="0" w:line="240" w:lineRule="auto"/>
              <w:rPr>
                <w:rFonts w:ascii="Calibri" w:eastAsia="Times New Roman" w:hAnsi="Calibri" w:cs="Times New Roman"/>
                <w:b/>
                <w:bCs/>
                <w:color w:val="FFFFFF" w:themeColor="background1"/>
                <w:sz w:val="28"/>
                <w:szCs w:val="28"/>
              </w:rPr>
            </w:pPr>
          </w:p>
        </w:tc>
      </w:tr>
      <w:tr w:rsidR="00CA4C75" w:rsidRPr="00635707" w:rsidTr="00C43BB0">
        <w:tc>
          <w:tcPr>
            <w:tcW w:w="13056" w:type="dxa"/>
            <w:gridSpan w:val="4"/>
            <w:shd w:val="clear" w:color="auto" w:fill="EBF0F9"/>
            <w:hideMark/>
          </w:tcPr>
          <w:p w:rsidR="00CA4C75" w:rsidRPr="00635707" w:rsidRDefault="00CA4C75"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color w:val="000000"/>
                <w:sz w:val="24"/>
                <w:szCs w:val="24"/>
              </w:rPr>
              <w:t xml:space="preserve">The results of your EIA must be published. Once the business activity has been implemented </w:t>
            </w:r>
            <w:r>
              <w:rPr>
                <w:rFonts w:ascii="Calibri" w:eastAsia="Times New Roman" w:hAnsi="Calibri" w:cs="Times New Roman"/>
                <w:color w:val="000000"/>
                <w:sz w:val="24"/>
                <w:szCs w:val="24"/>
              </w:rPr>
              <w:t>the EIA</w:t>
            </w:r>
            <w:r w:rsidRPr="00635707">
              <w:rPr>
                <w:rFonts w:ascii="Calibri" w:eastAsia="Times New Roman" w:hAnsi="Calibri" w:cs="Times New Roman"/>
                <w:color w:val="000000"/>
                <w:sz w:val="24"/>
                <w:szCs w:val="24"/>
              </w:rPr>
              <w:t xml:space="preserve"> must be periodically reviewed to ensure </w:t>
            </w:r>
            <w:r>
              <w:rPr>
                <w:rFonts w:ascii="Calibri" w:eastAsia="Times New Roman" w:hAnsi="Calibri" w:cs="Times New Roman"/>
                <w:color w:val="000000"/>
                <w:sz w:val="24"/>
                <w:szCs w:val="24"/>
              </w:rPr>
              <w:t>your decision/change had the</w:t>
            </w:r>
            <w:r w:rsidRPr="0063570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anticipated </w:t>
            </w:r>
            <w:r w:rsidRPr="00635707">
              <w:rPr>
                <w:rFonts w:ascii="Calibri" w:eastAsia="Times New Roman" w:hAnsi="Calibri" w:cs="Times New Roman"/>
                <w:color w:val="000000"/>
                <w:sz w:val="24"/>
                <w:szCs w:val="24"/>
              </w:rPr>
              <w:t xml:space="preserve">impact and </w:t>
            </w:r>
            <w:r>
              <w:rPr>
                <w:rFonts w:ascii="Calibri" w:eastAsia="Times New Roman" w:hAnsi="Calibri" w:cs="Times New Roman"/>
                <w:color w:val="000000"/>
                <w:sz w:val="24"/>
                <w:szCs w:val="24"/>
              </w:rPr>
              <w:t xml:space="preserve">the actions set out at 4.2 are </w:t>
            </w:r>
            <w:r w:rsidRPr="00635707">
              <w:rPr>
                <w:rFonts w:ascii="Calibri" w:eastAsia="Times New Roman" w:hAnsi="Calibri" w:cs="Times New Roman"/>
                <w:color w:val="000000"/>
                <w:sz w:val="24"/>
                <w:szCs w:val="24"/>
              </w:rPr>
              <w:t>still appropriate.</w:t>
            </w:r>
          </w:p>
          <w:p w:rsidR="00CA4C75" w:rsidRPr="00635707" w:rsidRDefault="00CA4C75" w:rsidP="00F9341D">
            <w:pPr>
              <w:spacing w:after="0" w:line="240" w:lineRule="auto"/>
              <w:rPr>
                <w:rFonts w:ascii="Calibri" w:eastAsia="Times New Roman" w:hAnsi="Calibri" w:cs="Times New Roman"/>
                <w:color w:val="000000"/>
                <w:sz w:val="24"/>
                <w:szCs w:val="24"/>
              </w:rPr>
            </w:pPr>
            <w:r w:rsidRPr="00635707">
              <w:rPr>
                <w:rFonts w:ascii="Verdana" w:eastAsia="Times New Roman" w:hAnsi="Verdana" w:cs="Times New Roman"/>
                <w:color w:val="000000"/>
                <w:sz w:val="20"/>
                <w:szCs w:val="20"/>
              </w:rPr>
              <w:t> </w:t>
            </w:r>
          </w:p>
        </w:tc>
      </w:tr>
      <w:tr w:rsidR="00CA4C75" w:rsidRPr="00F914F0" w:rsidTr="00C43BB0">
        <w:tc>
          <w:tcPr>
            <w:tcW w:w="3984" w:type="dxa"/>
            <w:gridSpan w:val="3"/>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EIA publishing date</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9F5073" w:rsidP="00F9341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Tbc</w:t>
            </w:r>
          </w:p>
        </w:tc>
      </w:tr>
      <w:tr w:rsidR="00CA4C75" w:rsidRPr="00F914F0" w:rsidTr="00C43BB0">
        <w:tc>
          <w:tcPr>
            <w:tcW w:w="3984" w:type="dxa"/>
            <w:gridSpan w:val="3"/>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 xml:space="preserve">EIA </w:t>
            </w:r>
            <w:r w:rsidRPr="00635707">
              <w:rPr>
                <w:rFonts w:ascii="Calibri" w:eastAsia="Times New Roman" w:hAnsi="Calibri" w:cs="Times New Roman"/>
                <w:b/>
                <w:bCs/>
                <w:color w:val="000000"/>
                <w:sz w:val="24"/>
                <w:szCs w:val="24"/>
              </w:rPr>
              <w:t>review date</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9F5073" w:rsidP="00F9341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1.10.15</w:t>
            </w:r>
          </w:p>
        </w:tc>
      </w:tr>
      <w:tr w:rsidR="00CA4C75" w:rsidRPr="00F914F0" w:rsidTr="00C43BB0">
        <w:tc>
          <w:tcPr>
            <w:tcW w:w="3984" w:type="dxa"/>
            <w:gridSpan w:val="3"/>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Assessment sign off</w:t>
            </w:r>
            <w:r>
              <w:rPr>
                <w:rFonts w:ascii="Calibri" w:eastAsia="Times New Roman" w:hAnsi="Calibri" w:cs="Times New Roman"/>
                <w:b/>
                <w:bCs/>
                <w:color w:val="000000"/>
                <w:sz w:val="24"/>
                <w:szCs w:val="24"/>
              </w:rPr>
              <w:t xml:space="preserve"> (name/job title)</w:t>
            </w:r>
            <w:r w:rsidRPr="00635707">
              <w:rPr>
                <w:rFonts w:ascii="Calibri" w:eastAsia="Times New Roman" w:hAnsi="Calibri" w:cs="Times New Roman"/>
                <w:b/>
                <w:bCs/>
                <w:color w:val="000000"/>
                <w:sz w:val="24"/>
                <w:szCs w:val="24"/>
              </w:rPr>
              <w:t>:</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bl>
    <w:p w:rsidR="00635707" w:rsidRDefault="00635707" w:rsidP="00F9341D">
      <w:pPr>
        <w:rPr>
          <w:rFonts w:ascii="Arial" w:hAnsi="Arial" w:cs="Arial"/>
          <w:sz w:val="21"/>
          <w:szCs w:val="21"/>
        </w:rPr>
      </w:pPr>
    </w:p>
    <w:p w:rsidR="00B813F2" w:rsidRPr="0078326D" w:rsidRDefault="00B813F2" w:rsidP="00F9341D">
      <w:pPr>
        <w:rPr>
          <w:rFonts w:ascii="Arial" w:hAnsi="Arial" w:cs="Arial"/>
          <w:sz w:val="21"/>
          <w:szCs w:val="21"/>
        </w:rPr>
      </w:pPr>
      <w:r>
        <w:rPr>
          <w:rFonts w:ascii="Arial" w:hAnsi="Arial" w:cs="Arial"/>
          <w:sz w:val="21"/>
          <w:szCs w:val="21"/>
        </w:rPr>
        <w:t xml:space="preserve">All completed and signed-off EIAs must be submitted to </w:t>
      </w:r>
      <w:hyperlink r:id="rId14" w:history="1">
        <w:r w:rsidRPr="004D1A18">
          <w:rPr>
            <w:rStyle w:val="Hyperlink"/>
            <w:rFonts w:ascii="Arial" w:hAnsi="Arial" w:cs="Arial"/>
            <w:sz w:val="21"/>
            <w:szCs w:val="21"/>
          </w:rPr>
          <w:t>equalities@lambeth.gov.uk</w:t>
        </w:r>
      </w:hyperlink>
      <w:r>
        <w:rPr>
          <w:rFonts w:ascii="Arial" w:hAnsi="Arial" w:cs="Arial"/>
          <w:sz w:val="21"/>
          <w:szCs w:val="21"/>
        </w:rPr>
        <w:t xml:space="preserve"> for </w:t>
      </w:r>
      <w:r w:rsidR="00112927">
        <w:rPr>
          <w:rFonts w:ascii="Arial" w:hAnsi="Arial" w:cs="Arial"/>
          <w:sz w:val="21"/>
          <w:szCs w:val="21"/>
        </w:rPr>
        <w:t xml:space="preserve">publication on </w:t>
      </w:r>
      <w:r>
        <w:rPr>
          <w:rFonts w:ascii="Arial" w:hAnsi="Arial" w:cs="Arial"/>
          <w:sz w:val="21"/>
          <w:szCs w:val="21"/>
        </w:rPr>
        <w:t xml:space="preserve"> Lambeth’s website.  Where possible, please anonymise your EIAs prior to submission (i.e. please remove any references to an officers’ name, email and phone number).</w:t>
      </w:r>
    </w:p>
    <w:sectPr w:rsidR="00B813F2" w:rsidRPr="0078326D" w:rsidSect="008F0BDD">
      <w:footerReference w:type="default" r:id="rId15"/>
      <w:pgSz w:w="15840" w:h="12240"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4D" w:rsidRDefault="00DA564D" w:rsidP="00F40C91">
      <w:pPr>
        <w:spacing w:after="0" w:line="240" w:lineRule="auto"/>
      </w:pPr>
      <w:r>
        <w:separator/>
      </w:r>
    </w:p>
  </w:endnote>
  <w:endnote w:type="continuationSeparator" w:id="0">
    <w:p w:rsidR="00DA564D" w:rsidRDefault="00DA564D" w:rsidP="00F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0946"/>
      <w:docPartObj>
        <w:docPartGallery w:val="Page Numbers (Bottom of Page)"/>
        <w:docPartUnique/>
      </w:docPartObj>
    </w:sdtPr>
    <w:sdtEndPr/>
    <w:sdtContent>
      <w:p w:rsidR="00F9341D" w:rsidRDefault="005A67A3">
        <w:pPr>
          <w:pStyle w:val="Footer"/>
          <w:jc w:val="right"/>
        </w:pPr>
        <w:r>
          <w:fldChar w:fldCharType="begin"/>
        </w:r>
        <w:r>
          <w:instrText xml:space="preserve"> PAGE   \* MERGEFORMAT </w:instrText>
        </w:r>
        <w:r>
          <w:fldChar w:fldCharType="separate"/>
        </w:r>
        <w:r w:rsidR="005B4D8B">
          <w:rPr>
            <w:noProof/>
          </w:rPr>
          <w:t>1</w:t>
        </w:r>
        <w:r>
          <w:rPr>
            <w:noProof/>
          </w:rPr>
          <w:fldChar w:fldCharType="end"/>
        </w:r>
      </w:p>
    </w:sdtContent>
  </w:sdt>
  <w:p w:rsidR="00F9341D" w:rsidRDefault="00F9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4D" w:rsidRDefault="00DA564D" w:rsidP="00F40C91">
      <w:pPr>
        <w:spacing w:after="0" w:line="240" w:lineRule="auto"/>
      </w:pPr>
      <w:r>
        <w:separator/>
      </w:r>
    </w:p>
  </w:footnote>
  <w:footnote w:type="continuationSeparator" w:id="0">
    <w:p w:rsidR="00DA564D" w:rsidRDefault="00DA564D" w:rsidP="00F40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BFB"/>
    <w:multiLevelType w:val="hybridMultilevel"/>
    <w:tmpl w:val="AF90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42E55"/>
    <w:multiLevelType w:val="multilevel"/>
    <w:tmpl w:val="A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7D3E81"/>
    <w:multiLevelType w:val="hybridMultilevel"/>
    <w:tmpl w:val="15E0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77153B"/>
    <w:multiLevelType w:val="hybridMultilevel"/>
    <w:tmpl w:val="E398CF50"/>
    <w:lvl w:ilvl="0" w:tplc="2DC2B3A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2E0DB5"/>
    <w:multiLevelType w:val="hybridMultilevel"/>
    <w:tmpl w:val="0E483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9D52D20"/>
    <w:multiLevelType w:val="hybridMultilevel"/>
    <w:tmpl w:val="B8DEC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6C4669"/>
    <w:multiLevelType w:val="hybridMultilevel"/>
    <w:tmpl w:val="74F43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42868"/>
    <w:rsid w:val="00046DB3"/>
    <w:rsid w:val="000606E2"/>
    <w:rsid w:val="000808CE"/>
    <w:rsid w:val="000B31D8"/>
    <w:rsid w:val="000B4FA1"/>
    <w:rsid w:val="000E5A5E"/>
    <w:rsid w:val="000F2554"/>
    <w:rsid w:val="00112927"/>
    <w:rsid w:val="001473AB"/>
    <w:rsid w:val="001666FD"/>
    <w:rsid w:val="001858FA"/>
    <w:rsid w:val="001A116E"/>
    <w:rsid w:val="001A1633"/>
    <w:rsid w:val="00203154"/>
    <w:rsid w:val="002117A7"/>
    <w:rsid w:val="00213191"/>
    <w:rsid w:val="00253157"/>
    <w:rsid w:val="00253AC6"/>
    <w:rsid w:val="00262D49"/>
    <w:rsid w:val="00277878"/>
    <w:rsid w:val="0028276A"/>
    <w:rsid w:val="00292B0D"/>
    <w:rsid w:val="002A6B5A"/>
    <w:rsid w:val="002B7FDC"/>
    <w:rsid w:val="002F0ED2"/>
    <w:rsid w:val="00354DB6"/>
    <w:rsid w:val="003567FB"/>
    <w:rsid w:val="003E5D5D"/>
    <w:rsid w:val="003F50AD"/>
    <w:rsid w:val="004302F7"/>
    <w:rsid w:val="00431911"/>
    <w:rsid w:val="00433A08"/>
    <w:rsid w:val="00452433"/>
    <w:rsid w:val="00457CF4"/>
    <w:rsid w:val="00463E45"/>
    <w:rsid w:val="0049550D"/>
    <w:rsid w:val="004B6DED"/>
    <w:rsid w:val="004D44EA"/>
    <w:rsid w:val="00503F70"/>
    <w:rsid w:val="00504987"/>
    <w:rsid w:val="00583303"/>
    <w:rsid w:val="005908A3"/>
    <w:rsid w:val="00596F47"/>
    <w:rsid w:val="005A67A3"/>
    <w:rsid w:val="005B4D8B"/>
    <w:rsid w:val="005E217B"/>
    <w:rsid w:val="005F3C9A"/>
    <w:rsid w:val="005F60BC"/>
    <w:rsid w:val="0060170C"/>
    <w:rsid w:val="00603706"/>
    <w:rsid w:val="00635707"/>
    <w:rsid w:val="00647CE7"/>
    <w:rsid w:val="0068169D"/>
    <w:rsid w:val="006D1AC4"/>
    <w:rsid w:val="006D54CE"/>
    <w:rsid w:val="006D76A8"/>
    <w:rsid w:val="006F3AF7"/>
    <w:rsid w:val="00743AFC"/>
    <w:rsid w:val="00756D7B"/>
    <w:rsid w:val="0078326D"/>
    <w:rsid w:val="007F09A8"/>
    <w:rsid w:val="00806A12"/>
    <w:rsid w:val="00807587"/>
    <w:rsid w:val="0081306B"/>
    <w:rsid w:val="008227FA"/>
    <w:rsid w:val="008447B0"/>
    <w:rsid w:val="00844EDB"/>
    <w:rsid w:val="00860A9E"/>
    <w:rsid w:val="00863797"/>
    <w:rsid w:val="00886710"/>
    <w:rsid w:val="00886E67"/>
    <w:rsid w:val="008D127B"/>
    <w:rsid w:val="008F0BDD"/>
    <w:rsid w:val="0091518D"/>
    <w:rsid w:val="009222A0"/>
    <w:rsid w:val="00960CDE"/>
    <w:rsid w:val="00961296"/>
    <w:rsid w:val="009F5073"/>
    <w:rsid w:val="009F7F6B"/>
    <w:rsid w:val="00A35AC9"/>
    <w:rsid w:val="00A368FF"/>
    <w:rsid w:val="00A50568"/>
    <w:rsid w:val="00A5244F"/>
    <w:rsid w:val="00A823E8"/>
    <w:rsid w:val="00A8359A"/>
    <w:rsid w:val="00B27E71"/>
    <w:rsid w:val="00B813F2"/>
    <w:rsid w:val="00B85A4F"/>
    <w:rsid w:val="00B8732A"/>
    <w:rsid w:val="00BE1112"/>
    <w:rsid w:val="00BF749D"/>
    <w:rsid w:val="00C115A1"/>
    <w:rsid w:val="00C36A5D"/>
    <w:rsid w:val="00C43BB0"/>
    <w:rsid w:val="00C90D01"/>
    <w:rsid w:val="00CA4C75"/>
    <w:rsid w:val="00CB4C6D"/>
    <w:rsid w:val="00D052FB"/>
    <w:rsid w:val="00D26C97"/>
    <w:rsid w:val="00D3162C"/>
    <w:rsid w:val="00D320BF"/>
    <w:rsid w:val="00D66725"/>
    <w:rsid w:val="00D70BB3"/>
    <w:rsid w:val="00D729DC"/>
    <w:rsid w:val="00D732F6"/>
    <w:rsid w:val="00D8747B"/>
    <w:rsid w:val="00DA564D"/>
    <w:rsid w:val="00DD64A9"/>
    <w:rsid w:val="00DF2595"/>
    <w:rsid w:val="00DF676C"/>
    <w:rsid w:val="00E00BB7"/>
    <w:rsid w:val="00E14329"/>
    <w:rsid w:val="00E806CA"/>
    <w:rsid w:val="00E83312"/>
    <w:rsid w:val="00E9356C"/>
    <w:rsid w:val="00EA757E"/>
    <w:rsid w:val="00EB1B15"/>
    <w:rsid w:val="00F40C91"/>
    <w:rsid w:val="00F67874"/>
    <w:rsid w:val="00F8665D"/>
    <w:rsid w:val="00F914F0"/>
    <w:rsid w:val="00F91A06"/>
    <w:rsid w:val="00F9341D"/>
    <w:rsid w:val="00FB1238"/>
    <w:rsid w:val="00FC7A2D"/>
    <w:rsid w:val="00FD4B02"/>
    <w:rsid w:val="00FE35FB"/>
    <w:rsid w:val="00FE3DEE"/>
    <w:rsid w:val="00FE4B34"/>
    <w:rsid w:val="00FF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ListParagraph">
    <w:name w:val="List Paragraph"/>
    <w:basedOn w:val="Normal"/>
    <w:uiPriority w:val="34"/>
    <w:qFormat/>
    <w:rsid w:val="000606E2"/>
    <w:pPr>
      <w:ind w:left="720"/>
      <w:contextualSpacing/>
    </w:pPr>
  </w:style>
  <w:style w:type="character" w:styleId="CommentReference">
    <w:name w:val="annotation reference"/>
    <w:basedOn w:val="DefaultParagraphFont"/>
    <w:uiPriority w:val="99"/>
    <w:semiHidden/>
    <w:unhideWhenUsed/>
    <w:rsid w:val="008227FA"/>
    <w:rPr>
      <w:sz w:val="16"/>
      <w:szCs w:val="16"/>
    </w:rPr>
  </w:style>
  <w:style w:type="paragraph" w:styleId="CommentText">
    <w:name w:val="annotation text"/>
    <w:basedOn w:val="Normal"/>
    <w:link w:val="CommentTextChar"/>
    <w:uiPriority w:val="99"/>
    <w:semiHidden/>
    <w:unhideWhenUsed/>
    <w:rsid w:val="008227FA"/>
    <w:pPr>
      <w:spacing w:line="240" w:lineRule="auto"/>
    </w:pPr>
    <w:rPr>
      <w:sz w:val="20"/>
      <w:szCs w:val="20"/>
    </w:rPr>
  </w:style>
  <w:style w:type="character" w:customStyle="1" w:styleId="CommentTextChar">
    <w:name w:val="Comment Text Char"/>
    <w:basedOn w:val="DefaultParagraphFont"/>
    <w:link w:val="CommentText"/>
    <w:uiPriority w:val="99"/>
    <w:semiHidden/>
    <w:rsid w:val="008227FA"/>
    <w:rPr>
      <w:sz w:val="20"/>
      <w:szCs w:val="20"/>
    </w:rPr>
  </w:style>
  <w:style w:type="paragraph" w:styleId="CommentSubject">
    <w:name w:val="annotation subject"/>
    <w:basedOn w:val="CommentText"/>
    <w:next w:val="CommentText"/>
    <w:link w:val="CommentSubjectChar"/>
    <w:uiPriority w:val="99"/>
    <w:semiHidden/>
    <w:unhideWhenUsed/>
    <w:rsid w:val="008227FA"/>
    <w:rPr>
      <w:b/>
      <w:bCs/>
    </w:rPr>
  </w:style>
  <w:style w:type="character" w:customStyle="1" w:styleId="CommentSubjectChar">
    <w:name w:val="Comment Subject Char"/>
    <w:basedOn w:val="CommentTextChar"/>
    <w:link w:val="CommentSubject"/>
    <w:uiPriority w:val="99"/>
    <w:semiHidden/>
    <w:rsid w:val="008227FA"/>
    <w:rPr>
      <w:b/>
      <w:bCs/>
      <w:sz w:val="20"/>
      <w:szCs w:val="20"/>
    </w:rPr>
  </w:style>
  <w:style w:type="paragraph" w:customStyle="1" w:styleId="Default">
    <w:name w:val="Default"/>
    <w:basedOn w:val="Normal"/>
    <w:uiPriority w:val="99"/>
    <w:rsid w:val="00844EDB"/>
    <w:pPr>
      <w:autoSpaceDE w:val="0"/>
      <w:autoSpaceDN w:val="0"/>
      <w:spacing w:after="0" w:line="240" w:lineRule="auto"/>
    </w:pPr>
    <w:rPr>
      <w:rFonts w:ascii="Lucida Sans" w:eastAsiaTheme="minorHAnsi" w:hAnsi="Lucida Sans"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ListParagraph">
    <w:name w:val="List Paragraph"/>
    <w:basedOn w:val="Normal"/>
    <w:uiPriority w:val="34"/>
    <w:qFormat/>
    <w:rsid w:val="000606E2"/>
    <w:pPr>
      <w:ind w:left="720"/>
      <w:contextualSpacing/>
    </w:pPr>
  </w:style>
  <w:style w:type="character" w:styleId="CommentReference">
    <w:name w:val="annotation reference"/>
    <w:basedOn w:val="DefaultParagraphFont"/>
    <w:uiPriority w:val="99"/>
    <w:semiHidden/>
    <w:unhideWhenUsed/>
    <w:rsid w:val="008227FA"/>
    <w:rPr>
      <w:sz w:val="16"/>
      <w:szCs w:val="16"/>
    </w:rPr>
  </w:style>
  <w:style w:type="paragraph" w:styleId="CommentText">
    <w:name w:val="annotation text"/>
    <w:basedOn w:val="Normal"/>
    <w:link w:val="CommentTextChar"/>
    <w:uiPriority w:val="99"/>
    <w:semiHidden/>
    <w:unhideWhenUsed/>
    <w:rsid w:val="008227FA"/>
    <w:pPr>
      <w:spacing w:line="240" w:lineRule="auto"/>
    </w:pPr>
    <w:rPr>
      <w:sz w:val="20"/>
      <w:szCs w:val="20"/>
    </w:rPr>
  </w:style>
  <w:style w:type="character" w:customStyle="1" w:styleId="CommentTextChar">
    <w:name w:val="Comment Text Char"/>
    <w:basedOn w:val="DefaultParagraphFont"/>
    <w:link w:val="CommentText"/>
    <w:uiPriority w:val="99"/>
    <w:semiHidden/>
    <w:rsid w:val="008227FA"/>
    <w:rPr>
      <w:sz w:val="20"/>
      <w:szCs w:val="20"/>
    </w:rPr>
  </w:style>
  <w:style w:type="paragraph" w:styleId="CommentSubject">
    <w:name w:val="annotation subject"/>
    <w:basedOn w:val="CommentText"/>
    <w:next w:val="CommentText"/>
    <w:link w:val="CommentSubjectChar"/>
    <w:uiPriority w:val="99"/>
    <w:semiHidden/>
    <w:unhideWhenUsed/>
    <w:rsid w:val="008227FA"/>
    <w:rPr>
      <w:b/>
      <w:bCs/>
    </w:rPr>
  </w:style>
  <w:style w:type="character" w:customStyle="1" w:styleId="CommentSubjectChar">
    <w:name w:val="Comment Subject Char"/>
    <w:basedOn w:val="CommentTextChar"/>
    <w:link w:val="CommentSubject"/>
    <w:uiPriority w:val="99"/>
    <w:semiHidden/>
    <w:rsid w:val="008227FA"/>
    <w:rPr>
      <w:b/>
      <w:bCs/>
      <w:sz w:val="20"/>
      <w:szCs w:val="20"/>
    </w:rPr>
  </w:style>
  <w:style w:type="paragraph" w:customStyle="1" w:styleId="Default">
    <w:name w:val="Default"/>
    <w:basedOn w:val="Normal"/>
    <w:uiPriority w:val="99"/>
    <w:rsid w:val="00844EDB"/>
    <w:pPr>
      <w:autoSpaceDE w:val="0"/>
      <w:autoSpaceDN w:val="0"/>
      <w:spacing w:after="0" w:line="240" w:lineRule="auto"/>
    </w:pPr>
    <w:rPr>
      <w:rFonts w:ascii="Lucida Sans" w:eastAsiaTheme="minorHAnsi" w:hAnsi="Lucida Sans"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222256570">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312100566">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110368189">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712924456">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325404622">
              <w:marLeft w:val="0"/>
              <w:marRight w:val="0"/>
              <w:marTop w:val="0"/>
              <w:marBottom w:val="0"/>
              <w:divBdr>
                <w:top w:val="none" w:sz="0" w:space="0" w:color="auto"/>
                <w:left w:val="none" w:sz="0" w:space="0" w:color="auto"/>
                <w:bottom w:val="none" w:sz="0" w:space="0" w:color="auto"/>
                <w:right w:val="none" w:sz="0" w:space="0" w:color="auto"/>
              </w:divBdr>
            </w:div>
            <w:div w:id="12690469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 w:id="158735591">
                  <w:marLeft w:val="0"/>
                  <w:marRight w:val="0"/>
                  <w:marTop w:val="0"/>
                  <w:marBottom w:val="0"/>
                  <w:divBdr>
                    <w:top w:val="none" w:sz="0" w:space="0" w:color="auto"/>
                    <w:left w:val="none" w:sz="0" w:space="0" w:color="auto"/>
                    <w:bottom w:val="none" w:sz="0" w:space="0" w:color="auto"/>
                    <w:right w:val="none" w:sz="0" w:space="0" w:color="auto"/>
                  </w:divBdr>
                </w:div>
              </w:divsChild>
            </w:div>
            <w:div w:id="1001394214">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38706521">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984890557">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1770613949">
                  <w:marLeft w:val="0"/>
                  <w:marRight w:val="0"/>
                  <w:marTop w:val="0"/>
                  <w:marBottom w:val="0"/>
                  <w:divBdr>
                    <w:top w:val="none" w:sz="0" w:space="0" w:color="auto"/>
                    <w:left w:val="none" w:sz="0" w:space="0" w:color="auto"/>
                    <w:bottom w:val="none" w:sz="0" w:space="0" w:color="auto"/>
                    <w:right w:val="none" w:sz="0" w:space="0" w:color="auto"/>
                  </w:divBdr>
                </w:div>
                <w:div w:id="944773457">
                  <w:marLeft w:val="0"/>
                  <w:marRight w:val="0"/>
                  <w:marTop w:val="0"/>
                  <w:marBottom w:val="0"/>
                  <w:divBdr>
                    <w:top w:val="none" w:sz="0" w:space="0" w:color="auto"/>
                    <w:left w:val="none" w:sz="0" w:space="0" w:color="auto"/>
                    <w:bottom w:val="none" w:sz="0" w:space="0" w:color="auto"/>
                    <w:right w:val="none" w:sz="0" w:space="0" w:color="auto"/>
                  </w:divBdr>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sChild>
    </w:div>
    <w:div w:id="1723559073">
      <w:bodyDiv w:val="1"/>
      <w:marLeft w:val="0"/>
      <w:marRight w:val="0"/>
      <w:marTop w:val="0"/>
      <w:marBottom w:val="0"/>
      <w:divBdr>
        <w:top w:val="none" w:sz="0" w:space="0" w:color="auto"/>
        <w:left w:val="none" w:sz="0" w:space="0" w:color="auto"/>
        <w:bottom w:val="none" w:sz="0" w:space="0" w:color="auto"/>
        <w:right w:val="none" w:sz="0" w:space="0" w:color="auto"/>
      </w:divBdr>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276762073">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8456801">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84681672">
              <w:marLeft w:val="0"/>
              <w:marRight w:val="0"/>
              <w:marTop w:val="0"/>
              <w:marBottom w:val="0"/>
              <w:divBdr>
                <w:top w:val="none" w:sz="0" w:space="0" w:color="auto"/>
                <w:left w:val="none" w:sz="0" w:space="0" w:color="auto"/>
                <w:bottom w:val="none" w:sz="0" w:space="0" w:color="auto"/>
                <w:right w:val="none" w:sz="0" w:space="0" w:color="auto"/>
              </w:divBdr>
            </w:div>
            <w:div w:id="1979263410">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mccollum1@lambeth.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qualities@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3762e1dc-9bcc-4a22-91e6-a5cb4b094858">
      <Value>6</Value>
      <Value>166</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 Policy, Equalities and Performance</TermName>
          <TermId xmlns="http://schemas.microsoft.com/office/infopath/2007/PartnerControls">e8ac22f7-84ba-4142-aee4-5bd0237b98c2</TermId>
        </TermInfo>
      </Terms>
    </jfb5cf1bc7374c44a9639a50894286b7>
    <j4550417b30840d6a7d706ce40e1b17b xmlns="3762e1dc-9bcc-4a22-91e6-a5cb4b094858">
      <Terms xmlns="http://schemas.microsoft.com/office/infopath/2007/PartnerControls"/>
    </j4550417b30840d6a7d706ce40e1b17b>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20" ma:contentTypeDescription="" ma:contentTypeScope="" ma:versionID="5a48b79ec344e73af73a7cb929116d06">
  <xsd:schema xmlns:xsd="http://www.w3.org/2001/XMLSchema" xmlns:xs="http://www.w3.org/2001/XMLSchema" xmlns:p="http://schemas.microsoft.com/office/2006/metadata/properties" xmlns:ns2="3762e1dc-9bcc-4a22-91e6-a5cb4b094858" targetNamespace="http://schemas.microsoft.com/office/2006/metadata/properties" ma:root="true" ma:fieldsID="c6a7766115a5de42d4465686ecfbc59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5750-DE54-4C17-B65B-1169923DBFA1}">
  <ds:schemaRefs>
    <ds:schemaRef ds:uri="Microsoft.SharePoint.Taxonomy.ContentTypeSync"/>
  </ds:schemaRefs>
</ds:datastoreItem>
</file>

<file path=customXml/itemProps2.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3.xml><?xml version="1.0" encoding="utf-8"?>
<ds:datastoreItem xmlns:ds="http://schemas.openxmlformats.org/officeDocument/2006/customXml" ds:itemID="{57F21D37-7D29-4AAA-9B19-A893CFA7F888}">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3762e1dc-9bcc-4a22-91e6-a5cb4b094858"/>
    <ds:schemaRef ds:uri="http://www.w3.org/XML/1998/namespace"/>
  </ds:schemaRefs>
</ds:datastoreItem>
</file>

<file path=customXml/itemProps4.xml><?xml version="1.0" encoding="utf-8"?>
<ds:datastoreItem xmlns:ds="http://schemas.openxmlformats.org/officeDocument/2006/customXml" ds:itemID="{40B20A3F-9394-465E-8CBA-7B57C86F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21EEA0-8502-499D-AF7C-BABF7C37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34551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2015-04-13T15:05:00Z</cp:lastPrinted>
  <dcterms:created xsi:type="dcterms:W3CDTF">2015-09-14T10:44:00Z</dcterms:created>
  <dcterms:modified xsi:type="dcterms:W3CDTF">2015-09-14T10:44:00Z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y fmtid="{D5CDD505-2E9C-101B-9397-08002B2CF9AE}" pid="6" name="m11153ca3d974fdd83ac4268da592cfa">
    <vt:lpwstr>Equalities and diversity|753a9e73-8f25-489c-9d5a-20c4098324f9</vt:lpwstr>
  </property>
</Properties>
</file>